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Finding the right fit: A comparison of process assumptions underlying popular drift-diffusion models.</w:t></w:r><w:br/><w:hyperlink r:id="rId7" w:history="1"><w:r><w:rPr><w:color w:val="2980b9"/><w:u w:val="single"/></w:rPr><w:t xml:space="preserve">https://psycnet.apa.org/fulltext/2016-31162-001.pdf?auth_token=b3daa6cb681acbad77573113010a242f7a1c3f37&returnUrl=https%3A%2F%2Fpsycnet.apa.org%2FdoiLanding%3Fdoi%3D10.1037%252Fxlm0000279</w:t></w:r></w:hyperlink></w:p><w:p><w:pPr><w:pStyle w:val="Heading1"/></w:pPr><w:bookmarkStart w:id="2" w:name="_Toc2"/><w:r><w:t>Article summary:</w:t></w:r><w:bookmarkEnd w:id="2"/></w:p><w:p><w:pPr><w:jc w:val="both"/></w:pPr><w:r><w:rPr/><w:t xml:space="preserve">1. Recent research suggests that attention, indexed by fixations (gaze duration), plays a critical role in the construction of preference.</w:t></w:r></w:p><w:p><w:pPr><w:jc w:val="both"/></w:pPr><w:r><w:rPr/><w:t xml:space="preserve">2. This article empirically tests prototypical versions of prominent processing assumptions against one another and several base models.</w:t></w:r></w:p><w:p><w:pPr><w:jc w:val="both"/></w:pPr><w:r><w:rPr/><w:t xml:space="preserve">3. Results suggest that general evidence accumulation processes provide a good fit to the data, but simpler models capture choice data better on an individual level.</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current research on drift-diffusion models and their ability to predict choices and decision times. The authors present their findings in a clear and concise manner, providing evidence for their claims with empirical data from two studies. The authors also discuss the theoretical and practical implications of their findings, which adds to the trustworthiness of the article.</w:t></w:r></w:p><w:p><w:pPr><w:jc w:val="both"/></w:pPr><w:r><w:rPr/><w:t xml:space="preserve">However, there are some potential biases in the article that should be noted. For example, the authors do not explore any counterarguments or alternative explanations for their findings, which could lead to an overly one-sided view of the results. Additionally, while they provide evidence for their claims with empirical data from two studies, they do not provide any evidence for how representative these studies are of the wider population or how applicable their results may be in other contexts. Finally, while they discuss potential practical implications of their findings, they do not address any possible risks associated with implementing such models in practice.</w:t></w:r></w:p><w:p><w:pPr><w:pStyle w:val="Heading1"/></w:pPr><w:bookmarkStart w:id="5" w:name="_Toc5"/><w:r><w:t>Topics for further research:</w:t></w:r><w:bookmarkEnd w:id="5"/></w:p><w:p><w:pPr><w:spacing w:after="0"/><w:numPr><w:ilvl w:val="0"/><w:numId w:val="2"/></w:numPr></w:pPr><w:r><w:rPr/><w:t xml:space="preserve">Drift-diffusion models and decision making</w:t></w:r></w:p><w:p><w:pPr><w:spacing w:after="0"/><w:numPr><w:ilvl w:val="0"/><w:numId w:val="2"/></w:numPr></w:pPr><w:r><w:rPr/><w:t xml:space="preserve">Counterarguments to drift-diffusion models</w:t></w:r></w:p><w:p><w:pPr><w:spacing w:after="0"/><w:numPr><w:ilvl w:val="0"/><w:numId w:val="2"/></w:numPr></w:pPr><w:r><w:rPr/><w:t xml:space="preserve">Representativeness of drift-diffusion models</w:t></w:r></w:p><w:p><w:pPr><w:spacing w:after="0"/><w:numPr><w:ilvl w:val="0"/><w:numId w:val="2"/></w:numPr></w:pPr><w:r><w:rPr/><w:t xml:space="preserve">Practical applications of drift-diffusion models</w:t></w:r></w:p><w:p><w:pPr><w:spacing w:after="0"/><w:numPr><w:ilvl w:val="0"/><w:numId w:val="2"/></w:numPr></w:pPr><w:r><w:rPr/><w:t xml:space="preserve">Risks associated with drift-diffusion models</w:t></w:r></w:p><w:p><w:pPr><w:numPr><w:ilvl w:val="0"/><w:numId w:val="2"/></w:numPr></w:pPr><w:r><w:rPr/><w:t xml:space="preserve">Alternative explanations for drift-diffusion models</w:t></w:r></w:p><w:p><w:pPr><w:pStyle w:val="Heading1"/></w:pPr><w:bookmarkStart w:id="6" w:name="_Toc6"/><w:r><w:t>Report location:</w:t></w:r><w:bookmarkEnd w:id="6"/></w:p><w:p><w:hyperlink r:id="rId8" w:history="1"><w:r><w:rPr><w:color w:val="2980b9"/><w:u w:val="single"/></w:rPr><w:t xml:space="preserve">https://www.fullpicture.app/item/f62c94edff9824f3979315e6f6ecc790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C02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fulltext/2016-31162-001.pdf?auth_token=b3daa6cb681acbad77573113010a242f7a1c3f37&amp;returnUrl=https%3A%2F%2Fpsycnet.apa.org%2FdoiLanding%3Fdoi%3D10.1037%252Fxlm0000279" TargetMode="External"/><Relationship Id="rId8" Type="http://schemas.openxmlformats.org/officeDocument/2006/relationships/hyperlink" Target="https://www.fullpicture.app/item/f62c94edff9824f3979315e6f6ecc7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2023-02-27T21:33:08+01:00</dcterms:created>
  <dcterms:modified xsi:type="dcterms:W3CDTF">2023-02-27T21:33:08+01:00</dcterms:modified>
</cp:coreProperties>
</file>

<file path=docProps/custom.xml><?xml version="1.0" encoding="utf-8"?>
<Properties xmlns="http://schemas.openxmlformats.org/officeDocument/2006/custom-properties" xmlns:vt="http://schemas.openxmlformats.org/officeDocument/2006/docPropsVTypes"/>
</file>