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and comparison of compounds in commercial Tripterygium wilfordii genus preparations with HPLC-QTOF/MS based on molecular networking and multivariate statistical analysis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https://pubmed.ncbi.nlm.nih.gov/35576890/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通过使用UHPLC-QTOF-MS/MS和分子网络（MN）技术，对三种商业Tripterygium wilfordii属制剂中的化合物进行了鉴定和比较。</w:t>
      </w:r>
    </w:p>
    <w:p>
      <w:pPr>
        <w:jc w:val="both"/>
      </w:pPr>
      <w:r>
        <w:rPr/>
        <w:t xml:space="preserve">2. 通过研究10种化合物的质量碎片途径，并使用UHPLC-QTOF-MS/MS和传统数据库进行鉴定，共鉴定出103种化合物。</w:t>
      </w:r>
    </w:p>
    <w:p>
      <w:pPr>
        <w:jc w:val="both"/>
      </w:pPr>
      <w:r>
        <w:rPr/>
        <w:t xml:space="preserve">3. 使用分子网络技术进一步在GNPS平台上进行了鉴定，并发现商业Tripterygium甙片的质量存在很大差异，其中26种化合物被发现是Tripterygium甙片中的主要差异化合物。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总结：该研究利用先进的仪器技术和分析方法对商业Tripterygium wilfordii属制剂中的化合物进行了全面的鉴定和比较，为分类有效成分、毒性成分以及质量控制提供了基础。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片面报道：文章只关注了三种商业Tripterygium wilfordii属制剂的化学成分鉴定和比较，而没有提及其他可能的影响因素，如药物安全性、有效性和副作用等。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无根据的主张：文章声称Tripterygium wilfordii属制剂具有明确的治疗效果，但高毒性。然而，没有提供足够的证据来支持这一主张，并且未引用其他相关研究或文献。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缺失的考虑点：文章没有讨论Tripterygium wilfordii属制剂在不同人群中可能存在的个体差异、药物相互作用、长期使用风险等重要考虑因素。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所提出主张的缺失证据：文章声称商业Tripterygium glycoside tablets质量存在很大差异，并列举了26种化合物作为主要差异化合物。然而，未提供充分证据来支持这一主张，并且未提及如何评估和比较不同制剂的质量。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未探索的反驳：文章没有探讨其他研究或观点对于Tripterygium wilfordii属制剂的有效性和安全性的反驳。这可能导致读者对该领域的整体认识不完整。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宣传内容：文章中存在一些宣传性语言，如将Tripterygium wilfordii属制剂描述为具有明确治疗效果的药物。这种宣传性语言可能会误导读者，并使他们对该药物产生过高期望。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是否注意到可能的风险：文章没有充分讨论Tripterygium wilfordii属制剂可能存在的潜在风险，如毒性、不良反应和滥用等。这种缺乏全面考虑可能会给读者带来误导。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没有平等地呈现双方：文章只关注了商业Tripterygium wilfordii属制剂的化学成分鉴定和比较，而没有提及其他相关研究或观点。这种片面性可能会导致读者对该领域的整体认识不完整。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总之，上述文章在某些方面存在一些问题和局限性，包括潜在偏见、片面报道、无根据的主张、缺失的考虑点和证据不足等。读者应该保持批判思维，并寻找更全面和客观的信息来评估Tripterygium wilfordii属制剂的有效性和安全性。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Tripterygium wilfordii属制剂的药物安全性和有效性研究
</w:t>
      </w:r>
    </w:p>
    <w:p>
      <w:pPr>
        <w:spacing w:after="0"/>
        <w:numPr>
          <w:ilvl w:val="0"/>
          <w:numId w:val="2"/>
        </w:numPr>
      </w:pPr>
      <w:r>
        <w:rPr/>
        <w:t xml:space="preserve">Tripterygium wilfordii属制剂的长期使用风险
</w:t>
      </w:r>
    </w:p>
    <w:p>
      <w:pPr>
        <w:spacing w:after="0"/>
        <w:numPr>
          <w:ilvl w:val="0"/>
          <w:numId w:val="2"/>
        </w:numPr>
      </w:pPr>
      <w:r>
        <w:rPr/>
        <w:t xml:space="preserve">Tripterygium wilfordii属制剂的个体差异和药物相互作用
</w:t>
      </w:r>
    </w:p>
    <w:p>
      <w:pPr>
        <w:spacing w:after="0"/>
        <w:numPr>
          <w:ilvl w:val="0"/>
          <w:numId w:val="2"/>
        </w:numPr>
      </w:pPr>
      <w:r>
        <w:rPr/>
        <w:t xml:space="preserve">Tripterygium wilfordii属制剂的质量评估和比较方法
</w:t>
      </w:r>
    </w:p>
    <w:p>
      <w:pPr>
        <w:spacing w:after="0"/>
        <w:numPr>
          <w:ilvl w:val="0"/>
          <w:numId w:val="2"/>
        </w:numPr>
      </w:pPr>
      <w:r>
        <w:rPr/>
        <w:t xml:space="preserve">Tripterygium wilfordii属制剂的潜在毒性和不良反应
</w:t>
      </w:r>
    </w:p>
    <w:p>
      <w:pPr>
        <w:numPr>
          <w:ilvl w:val="0"/>
          <w:numId w:val="2"/>
        </w:numPr>
      </w:pPr>
      <w:r>
        <w:rPr/>
        <w:t xml:space="preserve">Tripterygium wilfordii属制剂的滥用和滥用风险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https://www.fullpicture.app/item/f749815d49fa5d4165a5403f0933652f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84B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576890/" TargetMode="External"/><Relationship Id="rId8" Type="http://schemas.openxmlformats.org/officeDocument/2006/relationships/hyperlink" Target="https://www.fullpicture.app/item/f749815d49fa5d4165a5403f093365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2023-10-03T02:20:20+02:00</dcterms:created>
  <dcterms:modified xsi:type="dcterms:W3CDTF">2023-10-03T02:20:20+02:00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