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Safeguarding the Multifunctional Role of EU Agriculture: Which Instruments?</w:t>
      </w:r>
      <w:br/>
      <w:hyperlink r:id="rId7" w:history="1">
        <w:r>
          <w:rPr>
            <w:color w:val="2980b9"/>
            <w:u w:val="single"/>
          </w:rPr>
          <w:t xml:space="preserve">https://www.iatp.org/sites/default/files/Safeguarding_the_Multifunctional_Role_of_EU_Ag.htm</w:t>
        </w:r>
      </w:hyperlink>
    </w:p>
    <w:p>
      <w:pPr>
        <w:pStyle w:val="Heading1"/>
      </w:pPr>
      <w:bookmarkStart w:id="2" w:name="_Toc2"/>
      <w:r>
        <w:t>Article summary:</w:t>
      </w:r>
      <w:bookmarkEnd w:id="2"/>
    </w:p>
    <w:p>
      <w:pPr>
        <w:jc w:val="both"/>
      </w:pPr>
      <w:r>
        <w:rPr/>
        <w:t xml:space="preserve">1. 欧盟农业的多功能作用包括生产食物、保护农村环境和促进农村地区的可持续发展。</w:t>
      </w:r>
    </w:p>
    <w:p>
      <w:pPr>
        <w:jc w:val="both"/>
      </w:pPr>
      <w:r>
        <w:rPr/>
        <w:t xml:space="preserve">2. 欧盟通过各种政策措施来实现农业的多功能性目标，如直接支付、环境和农村发展计划等。</w:t>
      </w:r>
    </w:p>
    <w:p>
      <w:pPr>
        <w:jc w:val="both"/>
      </w:pPr>
      <w:r>
        <w:rPr/>
        <w:t xml:space="preserve">3. Agenda 2000改革加强了CAP的第二支柱，即环境和农村功能，通过采取针对性的措施来保障和增强农业的多功能作用。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Potential Bias and Sources: The article is produced by the European Commission's Directorate-General of Agriculture, which may have a bias towards promoting EU agriculture policies. This bias could lead to a one-sided presentation of the benefits of EU agriculture and its multifunctional role, without adequately addressing potential drawbacks or criticisms.</w:t>
      </w:r>
    </w:p>
    <w:p>
      <w:pPr>
        <w:jc w:val="both"/>
      </w:pPr>
      <w:r>
        <w:rPr/>
        <w:t xml:space="preserve"/>
      </w:r>
    </w:p>
    <w:p>
      <w:pPr>
        <w:jc w:val="both"/>
      </w:pPr>
      <w:r>
        <w:rPr/>
        <w:t xml:space="preserve">2. One-Sided Reporting: The article focuses primarily on the positive aspects of EU agriculture's multifunctional role, such as food production, environmental preservation, and rural development. It fails to address potential negative impacts of EU agricultural policies, such as environmental degradation from intensive farming practices or social inequalities in rural areas.</w:t>
      </w:r>
    </w:p>
    <w:p>
      <w:pPr>
        <w:jc w:val="both"/>
      </w:pPr>
      <w:r>
        <w:rPr/>
        <w:t xml:space="preserve"/>
      </w:r>
    </w:p>
    <w:p>
      <w:pPr>
        <w:jc w:val="both"/>
      </w:pPr>
      <w:r>
        <w:rPr/>
        <w:t xml:space="preserve">3. Unsubstantiated Claims: The article makes claims about the effectiveness of various policy instruments in safeguarding and enhancing the multifunctional role of EU agriculture, but does not provide sufficient evidence or data to support these claims. Without concrete examples or case studies, it is difficult to assess the actual impact of these policies.</w:t>
      </w:r>
    </w:p>
    <w:p>
      <w:pPr>
        <w:jc w:val="both"/>
      </w:pPr>
      <w:r>
        <w:rPr/>
        <w:t xml:space="preserve"/>
      </w:r>
    </w:p>
    <w:p>
      <w:pPr>
        <w:jc w:val="both"/>
      </w:pPr>
      <w:r>
        <w:rPr/>
        <w:t xml:space="preserve">4. Missing Considerations: The article overlooks important considerations related to trade distortions, market competitiveness, and consumer preferences in shaping EU agricultural policies. It does not explore potential conflicts between supporting domestic agriculture and meeting international trade obligations.</w:t>
      </w:r>
    </w:p>
    <w:p>
      <w:pPr>
        <w:jc w:val="both"/>
      </w:pPr>
      <w:r>
        <w:rPr/>
        <w:t xml:space="preserve"/>
      </w:r>
    </w:p>
    <w:p>
      <w:pPr>
        <w:jc w:val="both"/>
      </w:pPr>
      <w:r>
        <w:rPr/>
        <w:t xml:space="preserve">5. Lack of Evidence for Proposed Measures: While the article outlines various policy instruments aimed at enhancing the multifunctional role of EU agriculture, it does not provide empirical evidence or research findings to demonstrate their effectiveness. Without data-driven analysis, it is unclear how successful these measures are in achieving their intended goals.</w:t>
      </w:r>
    </w:p>
    <w:p>
      <w:pPr>
        <w:jc w:val="both"/>
      </w:pPr>
      <w:r>
        <w:rPr/>
        <w:t xml:space="preserve"/>
      </w:r>
    </w:p>
    <w:p>
      <w:pPr>
        <w:jc w:val="both"/>
      </w:pPr>
      <w:r>
        <w:rPr/>
        <w:t xml:space="preserve">6. Failure to Explore Counterarguments: The article does not acknowledge potential criticisms or alternative perspectives on EU agricultural policies and their impact on society. By ignoring dissenting views or opposing arguments, it presents a one-sided narrative that may not fully reflect the complexity of the issue.</w:t>
      </w:r>
    </w:p>
    <w:p>
      <w:pPr>
        <w:jc w:val="both"/>
      </w:pPr>
      <w:r>
        <w:rPr/>
        <w:t xml:space="preserve"/>
      </w:r>
    </w:p>
    <w:p>
      <w:pPr>
        <w:jc w:val="both"/>
      </w:pPr>
      <w:r>
        <w:rPr/>
        <w:t xml:space="preserve">7. Propaganda Content: The article reads more like a promotional piece for EU agricultural policies rather than an objective analysis of their multifunctional role. It lacks critical examination and independent evaluation of the potential risks and challenges associated with current agricultural practices in the EU.</w:t>
      </w:r>
    </w:p>
    <w:p>
      <w:pPr>
        <w:jc w:val="both"/>
      </w:pPr>
      <w:r>
        <w:rPr/>
        <w:t xml:space="preserve"/>
      </w:r>
    </w:p>
    <w:p>
      <w:pPr>
        <w:jc w:val="both"/>
      </w:pPr>
      <w:r>
        <w:rPr/>
        <w:t xml:space="preserve">8. Lack of Balance: The article fails to present a balanced view by only highlighting the positive aspects of EU agriculture's multifunctional role while downplaying any negative consequences or trade-offs involved. A more balanced approach would involve acknowledging both benefits and drawbacks of current agricultural policies.</w:t>
      </w:r>
    </w:p>
    <w:p>
      <w:pPr>
        <w:jc w:val="both"/>
      </w:pPr>
      <w:r>
        <w:rPr/>
        <w:t xml:space="preserve"/>
      </w:r>
    </w:p>
    <w:p>
      <w:pPr>
        <w:jc w:val="both"/>
      </w:pPr>
      <w:r>
        <w:rPr/>
        <w:t xml:space="preserve">Overall, this article appears to be biased towards promoting EU agricultural policies without critically examining their potential shortcomings or considering alternative viewpoints. A more comprehensive analysis would require addressing conflicting perspectives, providing evidence-based arguments, and exploring all sides of the debate surrounding EU agriculture's multifunctional role.</w:t>
      </w:r>
    </w:p>
    <w:p>
      <w:pPr>
        <w:pStyle w:val="Heading1"/>
      </w:pPr>
      <w:bookmarkStart w:id="5" w:name="_Toc5"/>
      <w:r>
        <w:t>Topics for further research:</w:t>
      </w:r>
      <w:bookmarkEnd w:id="5"/>
    </w:p>
    <w:p>
      <w:pPr>
        <w:spacing w:after="0"/>
        <w:numPr>
          <w:ilvl w:val="0"/>
          <w:numId w:val="2"/>
        </w:numPr>
      </w:pPr>
      <w:r>
        <w:rPr/>
        <w:t xml:space="preserve">EU agriculture policies drawbacks
</w:t>
      </w:r>
    </w:p>
    <w:p>
      <w:pPr>
        <w:spacing w:after="0"/>
        <w:numPr>
          <w:ilvl w:val="0"/>
          <w:numId w:val="2"/>
        </w:numPr>
      </w:pPr>
      <w:r>
        <w:rPr/>
        <w:t xml:space="preserve">Environmental degradation from intensive farming
</w:t>
      </w:r>
    </w:p>
    <w:p>
      <w:pPr>
        <w:spacing w:after="0"/>
        <w:numPr>
          <w:ilvl w:val="0"/>
          <w:numId w:val="2"/>
        </w:numPr>
      </w:pPr>
      <w:r>
        <w:rPr/>
        <w:t xml:space="preserve">Social inequalities in rural areas
</w:t>
      </w:r>
    </w:p>
    <w:p>
      <w:pPr>
        <w:spacing w:after="0"/>
        <w:numPr>
          <w:ilvl w:val="0"/>
          <w:numId w:val="2"/>
        </w:numPr>
      </w:pPr>
      <w:r>
        <w:rPr/>
        <w:t xml:space="preserve">Trade distortions in EU agriculture
</w:t>
      </w:r>
    </w:p>
    <w:p>
      <w:pPr>
        <w:spacing w:after="0"/>
        <w:numPr>
          <w:ilvl w:val="0"/>
          <w:numId w:val="2"/>
        </w:numPr>
      </w:pPr>
      <w:r>
        <w:rPr/>
        <w:t xml:space="preserve">Market competitiveness in EU agriculture
</w:t>
      </w:r>
    </w:p>
    <w:p>
      <w:pPr>
        <w:numPr>
          <w:ilvl w:val="0"/>
          <w:numId w:val="2"/>
        </w:numPr>
      </w:pPr>
      <w:r>
        <w:rPr/>
        <w:t xml:space="preserve">Consumer preferences in EU agriculture</w:t>
      </w:r>
    </w:p>
    <w:p>
      <w:pPr>
        <w:pStyle w:val="Heading1"/>
      </w:pPr>
      <w:bookmarkStart w:id="6" w:name="_Toc6"/>
      <w:r>
        <w:t>Report location:</w:t>
      </w:r>
      <w:bookmarkEnd w:id="6"/>
    </w:p>
    <w:p>
      <w:hyperlink r:id="rId8" w:history="1">
        <w:r>
          <w:rPr>
            <w:color w:val="2980b9"/>
            <w:u w:val="single"/>
          </w:rPr>
          <w:t xml:space="preserve">https://www.fullpicture.app/item/f750b925114f964add6262b4c93f7395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93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atp.org/sites/default/files/Safeguarding_the_Multifunctional_Role_of_EU_Ag.htm" TargetMode="External"/><Relationship Id="rId8" Type="http://schemas.openxmlformats.org/officeDocument/2006/relationships/hyperlink" Target="https://www.fullpicture.app/item/f750b925114f964add6262b4c93f73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2024-07-10T08:24:07+02:00</dcterms:created>
  <dcterms:modified xsi:type="dcterms:W3CDTF">2024-07-10T08:24:07+02:00</dcterms:modified>
</cp:coreProperties>
</file>

<file path=docProps/custom.xml><?xml version="1.0" encoding="utf-8"?>
<Properties xmlns="http://schemas.openxmlformats.org/officeDocument/2006/custom-properties" xmlns:vt="http://schemas.openxmlformats.org/officeDocument/2006/docPropsVTypes"/>
</file>