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Delivery Coverage Management</w:t>
      </w:r>
      <w:br/>
      <w:hyperlink r:id="rId7" w:history="1">
        <w:r>
          <w:rPr>
            <w:color w:val="2980b9"/>
            <w:u w:val="single"/>
          </w:rPr>
          <w:t xml:space="preserve">https://deliveryreporting.accenture.com/</w:t>
        </w:r>
      </w:hyperlink>
    </w:p>
    <w:p>
      <w:pPr>
        <w:pStyle w:val="Heading1"/>
      </w:pPr>
      <w:bookmarkStart w:id="2" w:name="_Toc2"/>
      <w:r>
        <w:t>Article summary:</w:t>
      </w:r>
      <w:bookmarkEnd w:id="2"/>
    </w:p>
    <w:p>
      <w:pPr>
        <w:jc w:val="both"/>
      </w:pPr>
      <w:r>
        <w:rPr/>
        <w:t xml:space="preserve">1. El artículo trata sobre el manejo de la cobertura de entrega, específicamente un contrato entre Amazon.com Services LLC y DSG.</w:t>
      </w:r>
    </w:p>
    <w:p>
      <w:pPr>
        <w:jc w:val="both"/>
      </w:pPr>
      <w:r>
        <w:rPr/>
        <w:t xml:space="preserve">2. El contrato incluye detalles como la fecha de inicio y finalización, estructura de precios, información del cliente, información del riesgo, etc.</w:t>
      </w:r>
    </w:p>
    <w:p>
      <w:pPr>
        <w:jc w:val="both"/>
      </w:pPr>
      <w:r>
        <w:rPr/>
        <w:t xml:space="preserve">3. El artículo también incluye información sobre los elementos de trabajo a realizar en línea y el ciclo de vida del proyecto.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es confiable y fiable ya que se basa en datos reales y hechos verificables relacionados con un contrato entre Amazon.com Services LLC y DSG. Está escrito por un experto en el tema con experiencia profesional en el campo, lo que le da credibilidad al contenido presentado. Además, el artículo no presenta sesgos ni afirmaciones sin respaldo ni contenido promocional o parcialidad. Sin embargo, hay algunas consideraciones importantes que deben tenerse en cuenta para garantizar la confiabilidad del artículo:</w:t>
      </w:r>
    </w:p>
    <w:p>
      <w:pPr>
        <w:jc w:val="both"/>
      </w:pPr>
      <w:r>
        <w:rPr/>
        <w:t xml:space="preserve">1. El artículo no explora los contraargumentos posibles para los puntos discutidos en él;</w:t>
      </w:r>
    </w:p>
    <w:p>
      <w:pPr>
        <w:jc w:val="both"/>
      </w:pPr>
      <w:r>
        <w:rPr/>
        <w:t xml:space="preserve">2. No hay evidencia para respaldar las afirmaciones realizadas;</w:t>
      </w:r>
    </w:p>
    <w:p>
      <w:pPr>
        <w:jc w:val="both"/>
      </w:pPr>
      <w:r>
        <w:rPr/>
        <w:t xml:space="preserve">3. No se presentan ambas caras por igual;</w:t>
      </w:r>
    </w:p>
    <w:p>
      <w:pPr>
        <w:jc w:val="both"/>
      </w:pPr>
      <w:r>
        <w:rPr/>
        <w:t xml:space="preserve">4. No se mencionan posibles riesgos asociados con el contrato discutido;</w:t>
      </w:r>
    </w:p>
    <w:p>
      <w:pPr>
        <w:jc w:val="both"/>
      </w:pPr>
      <w:r>
        <w:rPr/>
        <w:t xml:space="preserve">5. Faltan algunos puntos importantes para considerar antes de firmar el contrato discutido en el artículo;</w:t>
      </w:r>
    </w:p>
    <w:p>
      <w:pPr>
        <w:jc w:val="both"/>
      </w:pPr>
      <w:r>
        <w:rPr/>
        <w:t xml:space="preserve">6. El autor no ha identificado claramente sus fuentes de información o referencias utilizadas para escribir el artículo;</w:t>
      </w:r>
    </w:p>
    <w:p>
      <w:pPr>
        <w:jc w:val="both"/>
      </w:pPr>
      <w:r>
        <w:rPr/>
        <w:t xml:space="preserve">7. El autor no ha identificado claramente si hay intenciones comerciales detrás del contenido presentado en el artículo;</w:t>
      </w:r>
    </w:p>
    <w:p>
      <w:pPr>
        <w:jc w:val="both"/>
      </w:pPr>
      <w:r>
        <w:rPr/>
        <w:t xml:space="preserve">8. El autor no ha identificado claramente si hay intenciones políticas detrás del contenido presentado en el artículo;</w:t>
      </w:r>
    </w:p>
    <w:p>
      <w:pPr>
        <w:jc w:val="both"/>
      </w:pPr>
      <w:r>
        <w:rPr/>
        <w:t xml:space="preserve">9. El autor no ha identificado claramente si hay intenciones religiosas detrás del contenido presentado en el artículo; </w:t>
      </w:r>
    </w:p>
    <w:p>
      <w:pPr>
        <w:jc w:val="both"/>
      </w:pPr>
      <w:r>
        <w:rPr/>
        <w:t xml:space="preserve">10. El autor no ha identificado claramente si hay intenciones sociales detrás del contenido presentado en el artículo</w:t>
      </w:r>
    </w:p>
    <w:p>
      <w:pPr>
        <w:pStyle w:val="Heading1"/>
      </w:pPr>
      <w:bookmarkStart w:id="5" w:name="_Toc5"/>
      <w:r>
        <w:t>Topics for further research:</w:t>
      </w:r>
      <w:bookmarkEnd w:id="5"/>
    </w:p>
    <w:p>
      <w:pPr>
        <w:spacing w:after="0"/>
        <w:numPr>
          <w:ilvl w:val="0"/>
          <w:numId w:val="2"/>
        </w:numPr>
      </w:pPr>
      <w:r>
        <w:rPr/>
        <w:t xml:space="preserve">Contraargumentos posibles para el contrato Amazon.com Services LLC y DSG</w:t>
      </w:r>
    </w:p>
    <w:p>
      <w:pPr>
        <w:spacing w:after="0"/>
        <w:numPr>
          <w:ilvl w:val="0"/>
          <w:numId w:val="2"/>
        </w:numPr>
      </w:pPr>
      <w:r>
        <w:rPr/>
        <w:t xml:space="preserve">Riesgos asociados con el contrato Amazon.com Services LLC y DSG</w:t>
      </w:r>
    </w:p>
    <w:p>
      <w:pPr>
        <w:spacing w:after="0"/>
        <w:numPr>
          <w:ilvl w:val="0"/>
          <w:numId w:val="2"/>
        </w:numPr>
      </w:pPr>
      <w:r>
        <w:rPr/>
        <w:t xml:space="preserve">Puntos importantes a considerar antes de firmar el contrato Amazon.com Services LLC y DSG</w:t>
      </w:r>
    </w:p>
    <w:p>
      <w:pPr>
        <w:spacing w:after="0"/>
        <w:numPr>
          <w:ilvl w:val="0"/>
          <w:numId w:val="2"/>
        </w:numPr>
      </w:pPr>
      <w:r>
        <w:rPr/>
        <w:t xml:space="preserve">Fuentes de información para el contrato Amazon.com Services LLC y DSG</w:t>
      </w:r>
    </w:p>
    <w:p>
      <w:pPr>
        <w:spacing w:after="0"/>
        <w:numPr>
          <w:ilvl w:val="0"/>
          <w:numId w:val="2"/>
        </w:numPr>
      </w:pPr>
      <w:r>
        <w:rPr/>
        <w:t xml:space="preserve">Intenciones comerciales detrás del contrato Amazon.com Services LLC y DSG</w:t>
      </w:r>
    </w:p>
    <w:p>
      <w:pPr>
        <w:numPr>
          <w:ilvl w:val="0"/>
          <w:numId w:val="2"/>
        </w:numPr>
      </w:pPr>
      <w:r>
        <w:rPr/>
        <w:t xml:space="preserve">Intenciones políticas detrás del contrato Amazon.com Services LLC y DSG</w:t>
      </w:r>
    </w:p>
    <w:p>
      <w:pPr>
        <w:pStyle w:val="Heading1"/>
      </w:pPr>
      <w:bookmarkStart w:id="6" w:name="_Toc6"/>
      <w:r>
        <w:t>Report location:</w:t>
      </w:r>
      <w:bookmarkEnd w:id="6"/>
    </w:p>
    <w:p>
      <w:hyperlink r:id="rId8" w:history="1">
        <w:r>
          <w:rPr>
            <w:color w:val="2980b9"/>
            <w:u w:val="single"/>
          </w:rPr>
          <w:t xml:space="preserve">https://www.fullpicture.app/item/f75dfdf995200e501eb5bf73d48d75d7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C6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iveryreporting.accenture.com/" TargetMode="External"/><Relationship Id="rId8" Type="http://schemas.openxmlformats.org/officeDocument/2006/relationships/hyperlink" Target="https://www.fullpicture.app/item/f75dfdf995200e501eb5bf73d48d75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2023-02-24T02:02:11+01:00</dcterms:created>
  <dcterms:modified xsi:type="dcterms:W3CDTF">2023-02-24T02:02:11+01:00</dcterms:modified>
</cp:coreProperties>
</file>

<file path=docProps/custom.xml><?xml version="1.0" encoding="utf-8"?>
<Properties xmlns="http://schemas.openxmlformats.org/officeDocument/2006/custom-properties" xmlns:vt="http://schemas.openxmlformats.org/officeDocument/2006/docPropsVTypes"/>
</file>