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湖南省结合社会经济环境系统的区域水-能-粮关系模拟系统动力学模型 - ScienceDirect</w:t>
      </w:r>
      <w:br/>
      <w:hyperlink r:id="rId7" w:history="1">
        <w:r>
          <w:rPr>
            <w:color w:val="2980b9"/>
            <w:u w:val="single"/>
          </w:rPr>
          <w:t xml:space="preserve">https://www.sciencedirect.com/science/article/pii/S0048969722080962</w:t>
        </w:r>
      </w:hyperlink>
    </w:p>
    <w:p>
      <w:pPr>
        <w:pStyle w:val="Heading1"/>
      </w:pPr>
      <w:bookmarkStart w:id="2" w:name="_Toc2"/>
      <w:r>
        <w:t>Article summary:</w:t>
      </w:r>
      <w:bookmarkEnd w:id="2"/>
    </w:p>
    <w:p>
      <w:pPr>
        <w:jc w:val="both"/>
      </w:pPr>
      <w:r>
        <w:rPr/>
        <w:t xml:space="preserve">1. This study develops a comprehensive resources-environmental system dynamics model of Hunan Province, China to analyze the dynamic evolution of the water-energy-food nexus (WEFN).</w:t>
      </w:r>
    </w:p>
    <w:p>
      <w:pPr>
        <w:jc w:val="both"/>
      </w:pPr>
      <w:r>
        <w:rPr/>
        <w:t xml:space="preserve">2. The model is used to assess WEF-SEE system trajectories from 2021 to 2035 against nine policy goals formulated by the Hunan Provincial Government.</w:t>
      </w:r>
    </w:p>
    <w:p>
      <w:pPr>
        <w:jc w:val="both"/>
      </w:pPr>
      <w:r>
        <w:rPr/>
        <w:t xml:space="preserve">3. Intra-system trade-offs and synergies under the impacts of different policies indicate that cross-system impacts must be considered when choosing policies.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water-energy-food nexus in Hunan Province, China and its implications for policy formulation. The authors have done an admirable job in developing a system dynamics model to simulate and dynamically track the development of the WEF-SEE system in Hunan Province, as well as assessing WEF-SEE system trajectories from 2021 to 2035 against nine policy goals formulated by the Hunan Provincial Government. The article also provides useful insights into potential trade-offs and synergies under different policies, which could lead to more effective, holistic environmental policy formulation. </w:t>
      </w:r>
    </w:p>
    <w:p>
      <w:pPr>
        <w:jc w:val="both"/>
      </w:pPr>
      <w:r>
        <w:rPr/>
        <w:t xml:space="preserve">However, there are some potential biases and missing points of consideration that should be noted. Firstly, while the authors have done an admirable job in providing detailed information on their methodology and results, they do not provide any evidence or data sources for their claims or conclusions. Secondly, while they discuss potential trade-offs and synergies under different policies, they do not explore any counterarguments or alternative perspectives on these issues. Thirdly, while they discuss potential risks associated with certain policies, they do not provide any evidence or data sources for these claims either. Finally, while they provide useful insights into potential trade-offs and synergies under different policies, they do not present both sides equally or explore any possible solutions to mitigate these risks or maximize benefits from certain policies. </w:t>
      </w:r>
    </w:p>
    <w:p>
      <w:pPr>
        <w:jc w:val="both"/>
      </w:pPr>
      <w:r>
        <w:rPr/>
        <w:t xml:space="preserve">In conclusion, while this article provides a comprehensive overview of the water-energy-food nexus in Hunan Province and its implications for policy formulation, it does lack evidence for its claims and does not explore alternative perspectives or solutions to mitigate risks associated with certain policies.</w:t>
      </w:r>
    </w:p>
    <w:p>
      <w:pPr>
        <w:pStyle w:val="Heading1"/>
      </w:pPr>
      <w:bookmarkStart w:id="5" w:name="_Toc5"/>
      <w:r>
        <w:t>Topics for further research:</w:t>
      </w:r>
      <w:bookmarkEnd w:id="5"/>
    </w:p>
    <w:p>
      <w:pPr>
        <w:spacing w:after="0"/>
        <w:numPr>
          <w:ilvl w:val="0"/>
          <w:numId w:val="2"/>
        </w:numPr>
      </w:pPr>
      <w:r>
        <w:rPr/>
        <w:t xml:space="preserve">Water-energy-food nexus policy formulation</w:t>
      </w:r>
    </w:p>
    <w:p>
      <w:pPr>
        <w:spacing w:after="0"/>
        <w:numPr>
          <w:ilvl w:val="0"/>
          <w:numId w:val="2"/>
        </w:numPr>
      </w:pPr>
      <w:r>
        <w:rPr/>
        <w:t xml:space="preserve">System dynamics modelling</w:t>
      </w:r>
    </w:p>
    <w:p>
      <w:pPr>
        <w:spacing w:after="0"/>
        <w:numPr>
          <w:ilvl w:val="0"/>
          <w:numId w:val="2"/>
        </w:numPr>
      </w:pPr>
      <w:r>
        <w:rPr/>
        <w:t xml:space="preserve">Trade-offs and synergies in environmental policy</w:t>
      </w:r>
    </w:p>
    <w:p>
      <w:pPr>
        <w:spacing w:after="0"/>
        <w:numPr>
          <w:ilvl w:val="0"/>
          <w:numId w:val="2"/>
        </w:numPr>
      </w:pPr>
      <w:r>
        <w:rPr/>
        <w:t xml:space="preserve">Evidence-based policy making</w:t>
      </w:r>
    </w:p>
    <w:p>
      <w:pPr>
        <w:spacing w:after="0"/>
        <w:numPr>
          <w:ilvl w:val="0"/>
          <w:numId w:val="2"/>
        </w:numPr>
      </w:pPr>
      <w:r>
        <w:rPr/>
        <w:t xml:space="preserve">Risk assessment of environmental policies</w:t>
      </w:r>
    </w:p>
    <w:p>
      <w:pPr>
        <w:numPr>
          <w:ilvl w:val="0"/>
          <w:numId w:val="2"/>
        </w:numPr>
      </w:pPr>
      <w:r>
        <w:rPr/>
        <w:t xml:space="preserve">Mitigation strategies for environmental policies</w:t>
      </w:r>
    </w:p>
    <w:p>
      <w:pPr>
        <w:pStyle w:val="Heading1"/>
      </w:pPr>
      <w:bookmarkStart w:id="6" w:name="_Toc6"/>
      <w:r>
        <w:t>Report location:</w:t>
      </w:r>
      <w:bookmarkEnd w:id="6"/>
    </w:p>
    <w:p>
      <w:hyperlink r:id="rId8" w:history="1">
        <w:r>
          <w:rPr>
            <w:color w:val="2980b9"/>
            <w:u w:val="single"/>
          </w:rPr>
          <w:t xml:space="preserve">https://www.fullpicture.app/item/f8ae3fb1d9c585f4f319e8c1e98e17fa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88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80962" TargetMode="External"/><Relationship Id="rId8" Type="http://schemas.openxmlformats.org/officeDocument/2006/relationships/hyperlink" Target="https://www.fullpicture.app/item/f8ae3fb1d9c585f4f319e8c1e98e17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2023-02-27T16:15:00+01:00</dcterms:created>
  <dcterms:modified xsi:type="dcterms:W3CDTF">2023-02-27T16:15:00+01:00</dcterms:modified>
</cp:coreProperties>
</file>

<file path=docProps/custom.xml><?xml version="1.0" encoding="utf-8"?>
<Properties xmlns="http://schemas.openxmlformats.org/officeDocument/2006/custom-properties" xmlns:vt="http://schemas.openxmlformats.org/officeDocument/2006/docPropsVTypes"/>
</file>