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CFTR function, pathology and pharmacology at single-molecule resolution | Nature</w:t>
      </w:r>
      <w:br/>
      <w:hyperlink r:id="rId7" w:history="1">
        <w:r>
          <w:rPr>
            <w:color w:val="2980b9"/>
            <w:u w:val="single"/>
          </w:rPr>
          <w:t xml:space="preserve">https://www.nature.com/articles/s41586-023-05854-7</w:t>
        </w:r>
      </w:hyperlink>
    </w:p>
    <w:p>
      <w:pPr>
        <w:pStyle w:val="Heading1"/>
      </w:pPr>
      <w:bookmarkStart w:id="2" w:name="_Toc2"/>
      <w:r>
        <w:t>Article summary:</w:t>
      </w:r>
      <w:bookmarkEnd w:id="2"/>
    </w:p>
    <w:p>
      <w:pPr>
        <w:jc w:val="both"/>
      </w:pPr>
      <w:r>
        <w:rPr/>
        <w:t xml:space="preserve">1. CFTR is a unique ion channel belonging to the ATP-binding cassette transporter family of proteins.</w:t>
      </w:r>
    </w:p>
    <w:p>
      <w:pPr>
        <w:jc w:val="both"/>
      </w:pPr>
      <w:r>
        <w:rPr/>
        <w:t xml:space="preserve">2. CFTR activity requires phosphorylation of the regulatory domain by protein kinase A and ATP binding drives pore opening.</w:t>
      </w:r>
    </w:p>
    <w:p>
      <w:pPr>
        <w:jc w:val="both"/>
      </w:pPr>
      <w:r>
        <w:rPr/>
        <w:t xml:space="preserve">3. Major gaps in our understanding of CFTR function and regulation remain, including the mechanistic relationship between NBD dimerization and the gating mechanism.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首先，文章主要关注CFTR的结构和功能，但并未深入探讨其病理学和药理学方面。这可能会导致读者对CFTR在疾病治疗中的作用和潜在风险缺乏全面的了解。</w:t>
      </w:r>
    </w:p>
    <w:p>
      <w:pPr>
        <w:jc w:val="both"/>
      </w:pPr>
      <w:r>
        <w:rPr/>
        <w:t xml:space="preserve"/>
      </w:r>
    </w:p>
    <w:p>
      <w:pPr>
        <w:jc w:val="both"/>
      </w:pPr>
      <w:r>
        <w:rPr/>
        <w:t xml:space="preserve">其次，在描述CFTR结构和功能时，文章提到了一些争议性观点，但并未探讨这些观点之间的差异或提供足够的证据来支持其中任何一个观点。这可能会导致读者对CFTR机制的理解存在误解或不确定性。</w:t>
      </w:r>
    </w:p>
    <w:p>
      <w:pPr>
        <w:jc w:val="both"/>
      </w:pPr>
      <w:r>
        <w:rPr/>
        <w:t xml:space="preserve"/>
      </w:r>
    </w:p>
    <w:p>
      <w:pPr>
        <w:jc w:val="both"/>
      </w:pPr>
      <w:r>
        <w:rPr/>
        <w:t xml:space="preserve">此外，在介绍CFTR结构和功能时，文章使用了大量专业术语和技术细节，并且没有提供足够的背景信息或解释来帮助非专业读者理解。这可能会使该文章难以被广泛理解和应用。</w:t>
      </w:r>
    </w:p>
    <w:p>
      <w:pPr>
        <w:jc w:val="both"/>
      </w:pPr>
      <w:r>
        <w:rPr/>
        <w:t xml:space="preserve"/>
      </w:r>
    </w:p>
    <w:p>
      <w:pPr>
        <w:jc w:val="both"/>
      </w:pPr>
      <w:r>
        <w:rPr/>
        <w:t xml:space="preserve">总体而言，尽管该文章是一篇高质量、详细描述CFTR结构和功能的科学论文，但它也存在一些局限性和不足之处。</w:t>
      </w:r>
    </w:p>
    <w:p>
      <w:pPr>
        <w:pStyle w:val="Heading1"/>
      </w:pPr>
      <w:bookmarkStart w:id="5" w:name="_Toc5"/>
      <w:r>
        <w:t>Topics for further research:</w:t>
      </w:r>
      <w:bookmarkEnd w:id="5"/>
    </w:p>
    <w:p>
      <w:pPr>
        <w:spacing w:after="0"/>
        <w:numPr>
          <w:ilvl w:val="0"/>
          <w:numId w:val="2"/>
        </w:numPr>
      </w:pPr>
      <w:r>
        <w:rPr/>
        <w:t xml:space="preserve">CFTR的病理学和药理学作用
</w:t>
      </w:r>
    </w:p>
    <w:p>
      <w:pPr>
        <w:spacing w:after="0"/>
        <w:numPr>
          <w:ilvl w:val="0"/>
          <w:numId w:val="2"/>
        </w:numPr>
      </w:pPr>
      <w:r>
        <w:rPr/>
        <w:t xml:space="preserve">争议性观点的差异和证据支持
</w:t>
      </w:r>
    </w:p>
    <w:p>
      <w:pPr>
        <w:spacing w:after="0"/>
        <w:numPr>
          <w:ilvl w:val="0"/>
          <w:numId w:val="2"/>
        </w:numPr>
      </w:pPr>
      <w:r>
        <w:rPr/>
        <w:t xml:space="preserve">专业术语和技术细节的背景信息和解释
</w:t>
      </w:r>
    </w:p>
    <w:p>
      <w:pPr>
        <w:spacing w:after="0"/>
        <w:numPr>
          <w:ilvl w:val="0"/>
          <w:numId w:val="2"/>
        </w:numPr>
      </w:pPr>
      <w:r>
        <w:rPr/>
        <w:t xml:space="preserve">CFTR在疾病治疗中的潜在风险
</w:t>
      </w:r>
    </w:p>
    <w:p>
      <w:pPr>
        <w:spacing w:after="0"/>
        <w:numPr>
          <w:ilvl w:val="0"/>
          <w:numId w:val="2"/>
        </w:numPr>
      </w:pPr>
      <w:r>
        <w:rPr/>
        <w:t xml:space="preserve">CFTR机制的误解或不确定性
</w:t>
      </w:r>
    </w:p>
    <w:p>
      <w:pPr>
        <w:numPr>
          <w:ilvl w:val="0"/>
          <w:numId w:val="2"/>
        </w:numPr>
      </w:pPr>
      <w:r>
        <w:rPr/>
        <w:t xml:space="preserve">文章的局限性和不足之处</w:t>
      </w:r>
    </w:p>
    <w:p>
      <w:pPr>
        <w:pStyle w:val="Heading1"/>
      </w:pPr>
      <w:bookmarkStart w:id="6" w:name="_Toc6"/>
      <w:r>
        <w:t>Report location:</w:t>
      </w:r>
      <w:bookmarkEnd w:id="6"/>
    </w:p>
    <w:p>
      <w:hyperlink r:id="rId8" w:history="1">
        <w:r>
          <w:rPr>
            <w:color w:val="2980b9"/>
            <w:u w:val="single"/>
          </w:rPr>
          <w:t xml:space="preserve">https://www.fullpicture.app/item/f98938a41d08d6a1e007fb6d48ad52ec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3A3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5854-7" TargetMode="External"/><Relationship Id="rId8" Type="http://schemas.openxmlformats.org/officeDocument/2006/relationships/hyperlink" Target="https://www.fullpicture.app/item/f98938a41d08d6a1e007fb6d48ad52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2023-12-20T18:16:16+01:00</dcterms:created>
  <dcterms:modified xsi:type="dcterms:W3CDTF">2023-12-20T18:16:16+01:00</dcterms:modified>
</cp:coreProperties>
</file>

<file path=docProps/custom.xml><?xml version="1.0" encoding="utf-8"?>
<Properties xmlns="http://schemas.openxmlformats.org/officeDocument/2006/custom-properties" xmlns:vt="http://schemas.openxmlformats.org/officeDocument/2006/docPropsVTypes"/>
</file>