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Antiinflammatory Therapy with Canakinumab for Atherosclerotic Disease | NEJM</w:t></w:r><w:br/><w:hyperlink r:id="rId7" w:history="1"><w:r><w:rPr><w:color w:val="2980b9"/><w:u w:val="single"/></w:rPr><w:t xml:space="preserve">https://www.nejm.org/doi/10.1056/NEJMoa1707914?url_ver=Z39.88-2003&rfr_id=ori:rid:crossref.org&rfr_dat=cr_pub%200www.ncbi.nlm.nih.gov</w:t></w:r></w:hyperlink></w:p><w:p><w:pPr><w:pStyle w:val="Heading1"/></w:pPr><w:bookmarkStart w:id="2" w:name="_Toc2"/><w:r><w:t>Article summary:</w:t></w:r><w:bookmarkEnd w:id="2"/></w:p><w:p><w:pPr><w:jc w:val="both"/></w:pPr><w:r><w:rPr/><w:t xml:space="preserve">1. The Canakinumab Antiinflammatory Thrombosis Outcome Study (CANTOS) was a randomized, double-blind trial of canakinumab, a therapeutic monoclonal antibody targeting interleukin-1β.</w:t></w:r></w:p><w:p><w:pPr><w:jc w:val="both"/></w:pPr><w:r><w:rPr/><w:t xml:space="preserve">2. The trial compared three doses of canakinumab (50 mg, 150 mg, and 300 mg) with placebo in 10,061 patients with previous heart attack and high-sensitivity C-reactive protein level of 2 mg or more per liter.</w:t></w:r></w:p><w:p><w:pPr><w:jc w:val="both"/></w:pPr><w:r><w:rPr/><w:t xml:space="preserve">3. The 150-mg dose of canakinumab led to a significantly lower rate of recurrent cardiovascular events than placebo, independent of lipid-level lowering.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study design and results. It also includes references to other studies that support its claims. However, there are some potential biases that should be noted. For example, the study was funded by Novartis which could have influenced the results in favor of their product. Additionally, the article does not explore any possible risks associated with taking canakinumab or present any counterarguments to its claims. Furthermore, it does not provide any evidence for the claims made or discuss any unexplored points of consideration that could affect the results of the study. Finally, it does not present both sides equally which could lead to one-sided reporting and promotional content.</w:t></w:r></w:p><w:p><w:pPr><w:pStyle w:val="Heading1"/></w:pPr><w:bookmarkStart w:id="5" w:name="_Toc5"/><w:r><w:t>Topics for further research:</w:t></w:r><w:bookmarkEnd w:id="5"/></w:p><w:p><w:pPr><w:spacing w:after="0"/><w:numPr><w:ilvl w:val="0"/><w:numId w:val="2"/></w:numPr></w:pPr><w:r><w:rPr/><w:t xml:space="preserve">Canakinumab side effects</w:t></w:r></w:p><w:p><w:pPr><w:spacing w:after="0"/><w:numPr><w:ilvl w:val="0"/><w:numId w:val="2"/></w:numPr></w:pPr><w:r><w:rPr/><w:t xml:space="preserve">Canakinumab risks</w:t></w:r></w:p><w:p><w:pPr><w:spacing w:after="0"/><w:numPr><w:ilvl w:val="0"/><w:numId w:val="2"/></w:numPr></w:pPr><w:r><w:rPr/><w:t xml:space="preserve">Canakinumab long-term effects</w:t></w:r></w:p><w:p><w:pPr><w:spacing w:after="0"/><w:numPr><w:ilvl w:val="0"/><w:numId w:val="2"/></w:numPr></w:pPr><w:r><w:rPr/><w:t xml:space="preserve">Canakinumab efficacy studies</w:t></w:r></w:p><w:p><w:pPr><w:spacing w:after="0"/><w:numPr><w:ilvl w:val="0"/><w:numId w:val="2"/></w:numPr></w:pPr><w:r><w:rPr/><w:t xml:space="preserve">Canakinumab alternative treatments</w:t></w:r></w:p><w:p><w:pPr><w:numPr><w:ilvl w:val="0"/><w:numId w:val="2"/></w:numPr></w:pPr><w:r><w:rPr/><w:t xml:space="preserve">Canakinumab safety concerns</w:t></w:r></w:p><w:p><w:pPr><w:pStyle w:val="Heading1"/></w:pPr><w:bookmarkStart w:id="6" w:name="_Toc6"/><w:r><w:t>Report location:</w:t></w:r><w:bookmarkEnd w:id="6"/></w:p><w:p><w:hyperlink r:id="rId8" w:history="1"><w:r><w:rPr><w:color w:val="2980b9"/><w:u w:val="single"/></w:rPr><w:t xml:space="preserve">https://www.fullpicture.app/item/fa0c96f4d8e8e18658f74250d965f4ee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66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jm.org/doi/10.1056/NEJMoa1707914?url_ver=Z39.88-2003&amp;rfr_id=ori:rid:crossref.org&amp;rfr_dat=cr_pub%200www.ncbi.nlm.nih.gov" TargetMode="External"/><Relationship Id="rId8" Type="http://schemas.openxmlformats.org/officeDocument/2006/relationships/hyperlink" Target="https://www.fullpicture.app/item/fa0c96f4d8e8e18658f74250d965f4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2023-02-23T20:26:19+01:00</dcterms:created>
  <dcterms:modified xsi:type="dcterms:W3CDTF">2023-02-23T20:26:19+01:00</dcterms:modified>
</cp:coreProperties>
</file>

<file path=docProps/custom.xml><?xml version="1.0" encoding="utf-8"?>
<Properties xmlns="http://schemas.openxmlformats.org/officeDocument/2006/custom-properties" xmlns:vt="http://schemas.openxmlformats.org/officeDocument/2006/docPropsVTypes"/>
</file>