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健康成人的单肾单位肾小球滤过率 - PubMed</w:t>
      </w:r>
      <w:br/>
      <w:hyperlink r:id="rId7" w:history="1">
        <w:r>
          <w:rPr>
            <w:color w:val="2980b9"/>
            <w:u w:val="single"/>
          </w:rPr>
          <w:t xml:space="preserve">https://pubmed.ncbi.nlm.nih.gov/28614683/</w:t>
        </w:r>
      </w:hyperlink>
    </w:p>
    <w:p>
      <w:pPr>
        <w:pStyle w:val="Heading1"/>
      </w:pPr>
      <w:bookmarkStart w:id="2" w:name="_Toc2"/>
      <w:r>
        <w:t>Article summary:</w:t>
      </w:r>
      <w:bookmarkEnd w:id="2"/>
    </w:p>
    <w:p>
      <w:pPr>
        <w:jc w:val="both"/>
      </w:pPr>
      <w:r>
        <w:rPr/>
        <w:t xml:space="preserve">1. 单肾单位GFR是评估单个肾单位功能的指标，与人口统计学和临床特征以及肾脏活检结果有关。</w:t>
      </w:r>
    </w:p>
    <w:p>
      <w:pPr>
        <w:jc w:val="both"/>
      </w:pPr>
      <w:r>
        <w:rPr/>
        <w:t xml:space="preserve">2. 在健康成人肾脏供体中，单肾单位GFR在年龄、性别和身高（如果≤190厘米）方面相当稳定。</w:t>
      </w:r>
    </w:p>
    <w:p>
      <w:pPr>
        <w:jc w:val="both"/>
      </w:pPr>
      <w:r>
        <w:rPr/>
        <w:t xml:space="preserve">3. 较高的单肾单位GFR与慢性肾脏病的某些危险因素和某些肾活检结果相关。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潜在偏见及其来源：文章没有明确提到作者的潜在利益冲突或研究资助者的影响。这可能导致潜在的偏见，例如对某些结果或结论进行选择性报道。</w:t>
      </w:r>
    </w:p>
    <w:p>
      <w:pPr>
        <w:jc w:val="both"/>
      </w:pPr>
      <w:r>
        <w:rPr/>
        <w:t xml:space="preserve"/>
      </w:r>
    </w:p>
    <w:p>
      <w:pPr>
        <w:jc w:val="both"/>
      </w:pPr>
      <w:r>
        <w:rPr/>
        <w:t xml:space="preserve">2. 片面报道：文章只关注了健康成人肾脏供体的单肾单位GFR，而没有考虑其他人群或疾病状态下的GFR。这种片面报道可能导致对整个肾脏功能评估的不完整理解。</w:t>
      </w:r>
    </w:p>
    <w:p>
      <w:pPr>
        <w:jc w:val="both"/>
      </w:pPr>
      <w:r>
        <w:rPr/>
        <w:t xml:space="preserve"/>
      </w:r>
    </w:p>
    <w:p>
      <w:pPr>
        <w:jc w:val="both"/>
      </w:pPr>
      <w:r>
        <w:rPr/>
        <w:t xml:space="preserve">3. 无根据的主张：文章提到较高的单肾单位GFR与某些危险因素和肾活检结果相关，但没有提供具体证据支持这些主张。缺乏相关数据和统计分析使得这些主张缺乏可信度。</w:t>
      </w:r>
    </w:p>
    <w:p>
      <w:pPr>
        <w:jc w:val="both"/>
      </w:pPr>
      <w:r>
        <w:rPr/>
        <w:t xml:space="preserve"/>
      </w:r>
    </w:p>
    <w:p>
      <w:pPr>
        <w:jc w:val="both"/>
      </w:pPr>
      <w:r>
        <w:rPr/>
        <w:t xml:space="preserve">4. 缺失的考虑点：文章没有讨论其他可能影响单肾单位GFR的因素，如饮食、药物使用、遗传因素等。忽略这些因素可能导致对GFR评估不准确或误导性。</w:t>
      </w:r>
    </w:p>
    <w:p>
      <w:pPr>
        <w:jc w:val="both"/>
      </w:pPr>
      <w:r>
        <w:rPr/>
        <w:t xml:space="preserve"/>
      </w:r>
    </w:p>
    <w:p>
      <w:pPr>
        <w:jc w:val="both"/>
      </w:pPr>
      <w:r>
        <w:rPr/>
        <w:t xml:space="preserve">5. 所提出主张的缺失证据：尽管文章提到了一些与单肾单位GFR相关的因素，但并未提供足够的证据来支持这些主张。缺乏相关研究结果或数据分析使得这些主张缺乏可信度。</w:t>
      </w:r>
    </w:p>
    <w:p>
      <w:pPr>
        <w:jc w:val="both"/>
      </w:pPr>
      <w:r>
        <w:rPr/>
        <w:t xml:space="preserve"/>
      </w:r>
    </w:p>
    <w:p>
      <w:pPr>
        <w:jc w:val="both"/>
      </w:pPr>
      <w:r>
        <w:rPr/>
        <w:t xml:space="preserve">6. 未探索的反驳：文章没有探讨可能与其结论相矛盾的观点或研究结果。这种未探索的反驳可能导致对整个领域的理解不完整。</w:t>
      </w:r>
    </w:p>
    <w:p>
      <w:pPr>
        <w:jc w:val="both"/>
      </w:pPr>
      <w:r>
        <w:rPr/>
        <w:t xml:space="preserve"/>
      </w:r>
    </w:p>
    <w:p>
      <w:pPr>
        <w:jc w:val="both"/>
      </w:pPr>
      <w:r>
        <w:rPr/>
        <w:t xml:space="preserve">7. 宣传内容和偏袒：文章没有明确提到任何潜在的宣传内容或偏袒，但作者可能有倾向性地报道了某些结果或结论，以支持特定观点或利益。</w:t>
      </w:r>
    </w:p>
    <w:p>
      <w:pPr>
        <w:jc w:val="both"/>
      </w:pPr>
      <w:r>
        <w:rPr/>
        <w:t xml:space="preserve"/>
      </w:r>
    </w:p>
    <w:p>
      <w:pPr>
        <w:jc w:val="both"/>
      </w:pPr>
      <w:r>
        <w:rPr/>
        <w:t xml:space="preserve">8. 是否注意到可能的风险：文章没有明确讨论单肾单位GFR评估中可能存在的风险或局限性。忽略这些风险可能导致对GFR评估方法和结果的误解。</w:t>
      </w:r>
    </w:p>
    <w:p>
      <w:pPr>
        <w:jc w:val="both"/>
      </w:pPr>
      <w:r>
        <w:rPr/>
        <w:t xml:space="preserve"/>
      </w:r>
    </w:p>
    <w:p>
      <w:pPr>
        <w:jc w:val="both"/>
      </w:pPr>
      <w:r>
        <w:rPr/>
        <w:t xml:space="preserve">9. 没有平等地呈现双方：文章只关注了较高单肾单位GFR与某些因素之间的关系，而没有平等地考虑其他因素对GFR的影响。这种不平等呈现可能导致读者对该领域整体情况的误解。</w:t>
      </w:r>
    </w:p>
    <w:p>
      <w:pPr>
        <w:jc w:val="both"/>
      </w:pPr>
      <w:r>
        <w:rPr/>
        <w:t xml:space="preserve"/>
      </w:r>
    </w:p>
    <w:p>
      <w:pPr>
        <w:jc w:val="both"/>
      </w:pPr>
      <w:r>
        <w:rPr/>
        <w:t xml:space="preserve">总体而言，上述文章在提供关于健康成人单肾单位GFR评估方面一些信息，但存在一些潜在问题和不足之处。进一步的研究和数据分析可能需要来支持或验证其中的结论和主张。</w:t>
      </w:r>
    </w:p>
    <w:p>
      <w:pPr>
        <w:pStyle w:val="Heading1"/>
      </w:pPr>
      <w:bookmarkStart w:id="5" w:name="_Toc5"/>
      <w:r>
        <w:t>Topics for further research:</w:t>
      </w:r>
      <w:bookmarkEnd w:id="5"/>
    </w:p>
    <w:p>
      <w:pPr>
        <w:spacing w:after="0"/>
        <w:numPr>
          <w:ilvl w:val="0"/>
          <w:numId w:val="2"/>
        </w:numPr>
      </w:pPr>
      <w:r>
        <w:rPr/>
        <w:t xml:space="preserve">作者潜在利益冲突或研究资助者的影响
</w:t>
      </w:r>
    </w:p>
    <w:p>
      <w:pPr>
        <w:spacing w:after="0"/>
        <w:numPr>
          <w:ilvl w:val="0"/>
          <w:numId w:val="2"/>
        </w:numPr>
      </w:pPr>
      <w:r>
        <w:rPr/>
        <w:t xml:space="preserve">其他人群或疾病状态下的GFR评估
</w:t>
      </w:r>
    </w:p>
    <w:p>
      <w:pPr>
        <w:spacing w:after="0"/>
        <w:numPr>
          <w:ilvl w:val="0"/>
          <w:numId w:val="2"/>
        </w:numPr>
      </w:pPr>
      <w:r>
        <w:rPr/>
        <w:t xml:space="preserve">较高的单肾单位GFR与危险因素和肾活检结果的关联的具体证据
</w:t>
      </w:r>
    </w:p>
    <w:p>
      <w:pPr>
        <w:spacing w:after="0"/>
        <w:numPr>
          <w:ilvl w:val="0"/>
          <w:numId w:val="2"/>
        </w:numPr>
      </w:pPr>
      <w:r>
        <w:rPr/>
        <w:t xml:space="preserve">其他可能影响单肾单位GFR的因素，如饮食、药物使用、遗传因素等
</w:t>
      </w:r>
    </w:p>
    <w:p>
      <w:pPr>
        <w:spacing w:after="0"/>
        <w:numPr>
          <w:ilvl w:val="0"/>
          <w:numId w:val="2"/>
        </w:numPr>
      </w:pPr>
      <w:r>
        <w:rPr/>
        <w:t xml:space="preserve">支持与单肾单位GFR相关因素的证据
</w:t>
      </w:r>
    </w:p>
    <w:p>
      <w:pPr>
        <w:numPr>
          <w:ilvl w:val="0"/>
          <w:numId w:val="2"/>
        </w:numPr>
      </w:pPr>
      <w:r>
        <w:rPr/>
        <w:t xml:space="preserve">可能与结论相矛盾的观点或研究结果</w:t>
      </w:r>
    </w:p>
    <w:p>
      <w:pPr>
        <w:pStyle w:val="Heading1"/>
      </w:pPr>
      <w:bookmarkStart w:id="6" w:name="_Toc6"/>
      <w:r>
        <w:t>Report location:</w:t>
      </w:r>
      <w:bookmarkEnd w:id="6"/>
    </w:p>
    <w:p>
      <w:hyperlink r:id="rId8" w:history="1">
        <w:r>
          <w:rPr>
            <w:color w:val="2980b9"/>
            <w:u w:val="single"/>
          </w:rPr>
          <w:t xml:space="preserve">https://www.fullpicture.app/item/fb4f9a828fa7961020ae6d40a45bd76b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036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614683/" TargetMode="External"/><Relationship Id="rId8" Type="http://schemas.openxmlformats.org/officeDocument/2006/relationships/hyperlink" Target="https://www.fullpicture.app/item/fb4f9a828fa7961020ae6d40a45bd7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2024-05-04T17:27:35+02:00</dcterms:created>
  <dcterms:modified xsi:type="dcterms:W3CDTF">2024-05-04T17:27:35+02:00</dcterms:modified>
</cp:coreProperties>
</file>

<file path=docProps/custom.xml><?xml version="1.0" encoding="utf-8"?>
<Properties xmlns="http://schemas.openxmlformats.org/officeDocument/2006/custom-properties" xmlns:vt="http://schemas.openxmlformats.org/officeDocument/2006/docPropsVTypes"/>
</file>