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Pola Investasi Dana Haji oleh BPKH, Mengapa Pasar Modal hingga Reksadana Belum Jadi Pilihan? - Bisnis Tempo.co</w:t>
      </w:r>
      <w:br/>
      <w:hyperlink r:id="rId7" w:history="1">
        <w:r>
          <w:rPr>
            <w:color w:val="2980b9"/>
            <w:u w:val="single"/>
          </w:rPr>
          <w:t xml:space="preserve">https://bisnis.tempo.co/read/1693175/pola-investasi-dana-haji-oleh-bpkh-mengapa-pasar-modal-hingga-reksadana-belum-jadi-pilihan</w:t>
        </w:r>
      </w:hyperlink>
    </w:p>
    <w:p>
      <w:pPr>
        <w:pStyle w:val="Heading1"/>
      </w:pPr>
      <w:bookmarkStart w:id="2" w:name="_Toc2"/>
      <w:r>
        <w:t>Article summary:</w:t>
      </w:r>
      <w:bookmarkEnd w:id="2"/>
    </w:p>
    <w:p>
      <w:pPr>
        <w:jc w:val="both"/>
      </w:pPr>
      <w:r>
        <w:rPr/>
        <w:t xml:space="preserve">1. BPKH Amri Yusuf discussed the investment pattern of hajj funds managed by BPKH at a discussion in Jakarta.</w:t>
      </w:r>
    </w:p>
    <w:p>
      <w:pPr>
        <w:jc w:val="both"/>
      </w:pPr>
      <w:r>
        <w:rPr/>
        <w:t xml:space="preserve">2. The investment strategy of BPKH is called the trisula investment, which focuses on liquidity and solvency.</w:t>
      </w:r>
    </w:p>
    <w:p>
      <w:pPr>
        <w:jc w:val="both"/>
      </w:pPr>
      <w:r>
        <w:rPr/>
        <w:t xml:space="preserve">3. BPKH is allowed to invest in fixed income, sukuk, bonds, SBN and other instruments but has to maintain a high level of liquidity due to regulations.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investment pattern of hajj funds managed by BPKH as discussed by Amri Yusuf at a discussion in Jakarta. The article is generally reliable and trustworthy as it provides accurate information about the investment strategy used by BPKH and its focus on liquidity and solvency. However, there are some potential biases that should be noted. </w:t>
      </w:r>
    </w:p>
    <w:p>
      <w:pPr>
        <w:jc w:val="both"/>
      </w:pPr>
      <w:r>
        <w:rPr/>
        <w:t xml:space="preserve">First, the article does not provide any counterarguments or opposing views regarding the investment strategy used by BPKH. This could lead to a one-sided reporting of the issue which may not be entirely accurate or objective. Additionally, there is no mention of any possible risks associated with this strategy which could lead readers to believe that it is risk-free when this may not be the case. </w:t>
      </w:r>
    </w:p>
    <w:p>
      <w:pPr>
        <w:jc w:val="both"/>
      </w:pPr>
      <w:r>
        <w:rPr/>
        <w:t xml:space="preserve">Second, there is no evidence provided for some of the claims made in the article such as “BPKH diperkenankan untuk berinvestasi di pasar modal” or “BPKH memiliki strategi yang disebut sebagai trisula investasi” which could make readers question their accuracy and reliability. </w:t>
      </w:r>
    </w:p>
    <w:p>
      <w:pPr>
        <w:jc w:val="both"/>
      </w:pPr>
      <w:r>
        <w:rPr/>
        <w:t xml:space="preserve">Finally, while the article does provide some insights into how hajj funds are managed by BPKH, it does not explore other potential strategies that could be used or compare them to those currently employed by BPKH which would have been useful for readers looking for more comprehensive information on this topic. </w:t>
      </w:r>
    </w:p>
    <w:p>
      <w:pPr>
        <w:jc w:val="both"/>
      </w:pPr>
      <w:r>
        <w:rPr/>
        <w:t xml:space="preserve">In conclusion, while generally reliable and trustworthy, this article does have some potential biases that should be noted such as one-sided reporting and lack of evidence for certain claims made as well as missing points of consideration such as possible risks associated with this strategy and unexplored counterarguments or alternative strategies that could be employed instead.</w:t>
      </w:r>
    </w:p>
    <w:p>
      <w:pPr>
        <w:pStyle w:val="Heading1"/>
      </w:pPr>
      <w:bookmarkStart w:id="5" w:name="_Toc5"/>
      <w:r>
        <w:t>Topics for further research:</w:t>
      </w:r>
      <w:bookmarkEnd w:id="5"/>
    </w:p>
    <w:p>
      <w:pPr>
        <w:spacing w:after="0"/>
        <w:numPr>
          <w:ilvl w:val="0"/>
          <w:numId w:val="2"/>
        </w:numPr>
      </w:pPr>
      <w:r>
        <w:rPr/>
        <w:t xml:space="preserve">Hajj fund investment strategies</w:t>
      </w:r>
    </w:p>
    <w:p>
      <w:pPr>
        <w:spacing w:after="0"/>
        <w:numPr>
          <w:ilvl w:val="0"/>
          <w:numId w:val="2"/>
        </w:numPr>
      </w:pPr>
      <w:r>
        <w:rPr/>
        <w:t xml:space="preserve">Risk associated with BPKH investment strategy</w:t>
      </w:r>
    </w:p>
    <w:p>
      <w:pPr>
        <w:spacing w:after="0"/>
        <w:numPr>
          <w:ilvl w:val="0"/>
          <w:numId w:val="2"/>
        </w:numPr>
      </w:pPr>
      <w:r>
        <w:rPr/>
        <w:t xml:space="preserve">Alternative investment strategies for hajj funds</w:t>
      </w:r>
    </w:p>
    <w:p>
      <w:pPr>
        <w:spacing w:after="0"/>
        <w:numPr>
          <w:ilvl w:val="0"/>
          <w:numId w:val="2"/>
        </w:numPr>
      </w:pPr>
      <w:r>
        <w:rPr/>
        <w:t xml:space="preserve">Counterarguments to BPKH investment strategy</w:t>
      </w:r>
    </w:p>
    <w:p>
      <w:pPr>
        <w:spacing w:after="0"/>
        <w:numPr>
          <w:ilvl w:val="0"/>
          <w:numId w:val="2"/>
        </w:numPr>
      </w:pPr>
      <w:r>
        <w:rPr/>
        <w:t xml:space="preserve">Evidence for BPKH investment strategy</w:t>
      </w:r>
    </w:p>
    <w:p>
      <w:pPr>
        <w:numPr>
          <w:ilvl w:val="0"/>
          <w:numId w:val="2"/>
        </w:numPr>
      </w:pPr>
      <w:r>
        <w:rPr/>
        <w:t xml:space="preserve">Comparison of hajj fund investment strategies</w:t>
      </w:r>
    </w:p>
    <w:p>
      <w:pPr>
        <w:pStyle w:val="Heading1"/>
      </w:pPr>
      <w:bookmarkStart w:id="6" w:name="_Toc6"/>
      <w:r>
        <w:t>Report location:</w:t>
      </w:r>
      <w:bookmarkEnd w:id="6"/>
    </w:p>
    <w:p>
      <w:hyperlink r:id="rId8" w:history="1">
        <w:r>
          <w:rPr>
            <w:color w:val="2980b9"/>
            <w:u w:val="single"/>
          </w:rPr>
          <w:t xml:space="preserve">https://www.fullpicture.app/item/fb774af4ee18e3659e6a9012d14d292d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F8C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snis.tempo.co/read/1693175/pola-investasi-dana-haji-oleh-bpkh-mengapa-pasar-modal-hingga-reksadana-belum-jadi-pilihan" TargetMode="External"/><Relationship Id="rId8" Type="http://schemas.openxmlformats.org/officeDocument/2006/relationships/hyperlink" Target="https://www.fullpicture.app/item/fb774af4ee18e3659e6a9012d14d29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2023-02-20T08:36:09+01:00</dcterms:created>
  <dcterms:modified xsi:type="dcterms:W3CDTF">2023-02-20T08:36:09+01:00</dcterms:modified>
</cp:coreProperties>
</file>

<file path=docProps/custom.xml><?xml version="1.0" encoding="utf-8"?>
<Properties xmlns="http://schemas.openxmlformats.org/officeDocument/2006/custom-properties" xmlns:vt="http://schemas.openxmlformats.org/officeDocument/2006/docPropsVTypes"/>
</file>