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Transcriptome Profiling of the Kidney Glomerulus Identifies Key Cell Types and Reactions to Injury - PMC</w:t>
      </w:r>
      <w:br/>
      <w:hyperlink r:id="rId7" w:history="1">
        <w:r>
          <w:rPr>
            <w:color w:val="2980b9"/>
            <w:u w:val="single"/>
          </w:rPr>
          <w:t xml:space="preserve">https://www.ncbi.nlm.nih.gov/pmc/articles/PMC7609001/</w:t>
        </w:r>
      </w:hyperlink>
    </w:p>
    <w:p>
      <w:pPr>
        <w:pStyle w:val="Heading1"/>
      </w:pPr>
      <w:bookmarkStart w:id="2" w:name="_Toc2"/>
      <w:r>
        <w:t>Article summary:</w:t>
      </w:r>
      <w:bookmarkEnd w:id="2"/>
    </w:p>
    <w:p>
      <w:pPr>
        <w:jc w:val="both"/>
      </w:pPr>
      <w:r>
        <w:rPr/>
        <w:t xml:space="preserve">1. 该研究使用单细胞转录组学技术对肾小球进行了全面的分析，鉴定了关键的细胞类型和对损伤的反应。</w:t>
      </w:r>
    </w:p>
    <w:p>
      <w:pPr>
        <w:jc w:val="both"/>
      </w:pPr>
      <w:r>
        <w:rPr/>
        <w:t xml:space="preserve">2. 研究通过对健康小鼠和四种不同疾病模型（肾毒性血清性肾炎、糖尿病、多柔比星毒性和CD2AP缺陷）中的肾小球进行单细胞RNA测序，识别出所有细胞类型，并发现了特定于细胞类型和损伤类型的反应。</w:t>
      </w:r>
    </w:p>
    <w:p>
      <w:pPr>
        <w:jc w:val="both"/>
      </w:pPr>
      <w:r>
        <w:rPr/>
        <w:t xml:space="preserve">3. 通过生成健康和受损小鼠肾小球的全面高分辨率单细胞转录组谱，为识别新的与疾病相关的基因和途径提供了资源。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潜在偏见及其来源：文章没有明确提到作者的潜在利益冲突或研究资助来源。这可能导致读者对研究结果的客观性产生怀疑。</w:t>
      </w:r>
    </w:p>
    <w:p>
      <w:pPr>
        <w:jc w:val="both"/>
      </w:pPr>
      <w:r>
        <w:rPr/>
        <w:t xml:space="preserve"/>
      </w:r>
    </w:p>
    <w:p>
      <w:pPr>
        <w:jc w:val="both"/>
      </w:pPr>
      <w:r>
        <w:rPr/>
        <w:t xml:space="preserve">2. 片面报道：文章只关注了单个细胞转录组学技术在肾小球中的应用，而没有提及其他可能存在的方法或技术。这种片面报道可能会导致读者对该技术的整体效果和可靠性缺乏全面了解。</w:t>
      </w:r>
    </w:p>
    <w:p>
      <w:pPr>
        <w:jc w:val="both"/>
      </w:pPr>
      <w:r>
        <w:rPr/>
        <w:t xml:space="preserve"/>
      </w:r>
    </w:p>
    <w:p>
      <w:pPr>
        <w:jc w:val="both"/>
      </w:pPr>
      <w:r>
        <w:rPr/>
        <w:t xml:space="preserve">3. 无根据的主张：文章声称该数据集将成为识别与肾小球疾病发病机制相关的基因和途径的有价值资源，但并未提供具体证据支持这一主张。缺乏相关实验证据可能使得读者对该数据集的实际应用价值产生质疑。</w:t>
      </w:r>
    </w:p>
    <w:p>
      <w:pPr>
        <w:jc w:val="both"/>
      </w:pPr>
      <w:r>
        <w:rPr/>
        <w:t xml:space="preserve"/>
      </w:r>
    </w:p>
    <w:p>
      <w:pPr>
        <w:jc w:val="both"/>
      </w:pPr>
      <w:r>
        <w:rPr/>
        <w:t xml:space="preserve">4. 缺失的考虑点：文章没有讨论肾小球损伤后修复机制以及急性损伤如何进展为慢性纤维化等重要问题。这些缺失的考虑点可能限制了读者对肾小球损伤过程全貌的理解。</w:t>
      </w:r>
    </w:p>
    <w:p>
      <w:pPr>
        <w:jc w:val="both"/>
      </w:pPr>
      <w:r>
        <w:rPr/>
        <w:t xml:space="preserve"/>
      </w:r>
    </w:p>
    <w:p>
      <w:pPr>
        <w:jc w:val="both"/>
      </w:pPr>
      <w:r>
        <w:rPr/>
        <w:t xml:space="preserve">5. 所提出主张的缺失证据：文章提到了YAP或TAZ的条件性删除导致更严重和持久的蛋白尿，以及更严重的肾小球硬化。然而，文章没有提供足够的实验证据来支持这些主张。缺乏相关实验结果可能使得读者对这些结论的可靠性产生怀疑。</w:t>
      </w:r>
    </w:p>
    <w:p>
      <w:pPr>
        <w:jc w:val="both"/>
      </w:pPr>
      <w:r>
        <w:rPr/>
        <w:t xml:space="preserve"/>
      </w:r>
    </w:p>
    <w:p>
      <w:pPr>
        <w:jc w:val="both"/>
      </w:pPr>
      <w:r>
        <w:rPr/>
        <w:t xml:space="preserve">6. 未探索的反驳：文章没有探讨其他可能解释研究结果的观点或假设。这种未探索的反驳可能导致读者对研究结论的全面性和可靠性产生质疑。</w:t>
      </w:r>
    </w:p>
    <w:p>
      <w:pPr>
        <w:jc w:val="both"/>
      </w:pPr>
      <w:r>
        <w:rPr/>
        <w:t xml:space="preserve"/>
      </w:r>
    </w:p>
    <w:p>
      <w:pPr>
        <w:jc w:val="both"/>
      </w:pPr>
      <w:r>
        <w:rPr/>
        <w:t xml:space="preserve">7. 宣传内容：文章中使用了一些宣传性语言，如“革命性改变”、“宝贵资源”等，这可能会给读者留下过度夸大研究结果的印象。</w:t>
      </w:r>
    </w:p>
    <w:p>
      <w:pPr>
        <w:jc w:val="both"/>
      </w:pPr>
      <w:r>
        <w:rPr/>
        <w:t xml:space="preserve"/>
      </w:r>
    </w:p>
    <w:p>
      <w:pPr>
        <w:jc w:val="both"/>
      </w:pPr>
      <w:r>
        <w:rPr/>
        <w:t xml:space="preserve">总体而言，上述文章在一些方面存在潜在偏见、片面报道、无根据的主张、缺失考虑点和证据不足等问题。对于一个全面客观评估该研究结果和结论的理解来说，需要进一步深入分析和审查。</w:t>
      </w:r>
    </w:p>
    <w:p>
      <w:pPr>
        <w:pStyle w:val="Heading1"/>
      </w:pPr>
      <w:bookmarkStart w:id="5" w:name="_Toc5"/>
      <w:r>
        <w:t>Topics for further research:</w:t>
      </w:r>
      <w:bookmarkEnd w:id="5"/>
    </w:p>
    <w:p>
      <w:pPr>
        <w:spacing w:after="0"/>
        <w:numPr>
          <w:ilvl w:val="0"/>
          <w:numId w:val="2"/>
        </w:numPr>
      </w:pPr>
      <w:r>
        <w:rPr/>
        <w:t xml:space="preserve">作者潜在利益冲突或研究资助来源
</w:t>
      </w:r>
    </w:p>
    <w:p>
      <w:pPr>
        <w:spacing w:after="0"/>
        <w:numPr>
          <w:ilvl w:val="0"/>
          <w:numId w:val="2"/>
        </w:numPr>
      </w:pPr>
      <w:r>
        <w:rPr/>
        <w:t xml:space="preserve">其他可能存在的方法或技术
</w:t>
      </w:r>
    </w:p>
    <w:p>
      <w:pPr>
        <w:spacing w:after="0"/>
        <w:numPr>
          <w:ilvl w:val="0"/>
          <w:numId w:val="2"/>
        </w:numPr>
      </w:pPr>
      <w:r>
        <w:rPr/>
        <w:t xml:space="preserve">具体证据支持数据集的实际应用价值
</w:t>
      </w:r>
    </w:p>
    <w:p>
      <w:pPr>
        <w:spacing w:after="0"/>
        <w:numPr>
          <w:ilvl w:val="0"/>
          <w:numId w:val="2"/>
        </w:numPr>
      </w:pPr>
      <w:r>
        <w:rPr/>
        <w:t xml:space="preserve">肾小球损伤后修复机制和慢性纤维化等重要问题
</w:t>
      </w:r>
    </w:p>
    <w:p>
      <w:pPr>
        <w:spacing w:after="0"/>
        <w:numPr>
          <w:ilvl w:val="0"/>
          <w:numId w:val="2"/>
        </w:numPr>
      </w:pPr>
      <w:r>
        <w:rPr/>
        <w:t xml:space="preserve">实验证据支持YAP或TAZ条件性删除导致更严重和持久的蛋白尿以及肾小球硬化的主张
</w:t>
      </w:r>
    </w:p>
    <w:p>
      <w:pPr>
        <w:numPr>
          <w:ilvl w:val="0"/>
          <w:numId w:val="2"/>
        </w:numPr>
      </w:pPr>
      <w:r>
        <w:rPr/>
        <w:t xml:space="preserve">其他可能解释研究结果的观点或假设</w:t>
      </w:r>
    </w:p>
    <w:p>
      <w:pPr>
        <w:pStyle w:val="Heading1"/>
      </w:pPr>
      <w:bookmarkStart w:id="6" w:name="_Toc6"/>
      <w:r>
        <w:t>Report location:</w:t>
      </w:r>
      <w:bookmarkEnd w:id="6"/>
    </w:p>
    <w:p>
      <w:hyperlink r:id="rId8" w:history="1">
        <w:r>
          <w:rPr>
            <w:color w:val="2980b9"/>
            <w:u w:val="single"/>
          </w:rPr>
          <w:t xml:space="preserve">https://www.fullpicture.app/item/fbd97cd35c95769e22ea8fde933b6aad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A17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09001/" TargetMode="External"/><Relationship Id="rId8" Type="http://schemas.openxmlformats.org/officeDocument/2006/relationships/hyperlink" Target="https://www.fullpicture.app/item/fbd97cd35c95769e22ea8fde933b6a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2024-02-04T19:58:08+01:00</dcterms:created>
  <dcterms:modified xsi:type="dcterms:W3CDTF">2024-02-04T19:58:08+01:00</dcterms:modified>
</cp:coreProperties>
</file>

<file path=docProps/custom.xml><?xml version="1.0" encoding="utf-8"?>
<Properties xmlns="http://schemas.openxmlformats.org/officeDocument/2006/custom-properties" xmlns:vt="http://schemas.openxmlformats.org/officeDocument/2006/docPropsVTypes"/>
</file>