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"CCL2-/-""anxiety" (所有字段) – 63 – Web of Science 核心合集</w:t>
      </w:r>
      <w:br/>
      <w:hyperlink r:id="rId7" w:history="1">
        <w:r>
          <w:rPr>
            <w:color w:val="2980b9"/>
            <w:u w:val="single"/>
          </w:rPr>
          <w:t xml:space="preserve">https://www.webofscience.com/wos/woscc/summary/0245cdc4-f5f2-4bfd-8fcd-9c846bb18b1a-9c3d761b/relevance/1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研究了CCL2在焦虑行为中的作用。通过使用疱疹病毒载体，将CCL2基因敲除中央杏仁核神经元中的mRNA，发现在低剂量乙醇戒断期间，大鼠在社交互动任务中表现出焦虑样行为。此外，乙醇戒断和CCL2敲除增加了抗炎蛋白CX3CL1的水平。结果表明，CCL2和CCL2/CX3CL1平衡可能在焦虑中起重要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探讨了CCL2-CCR2信号通路在癫痫状态后引起神经细胞死亡的机制。实验发现，在癫痫状态后，CCL2水平升高，并且激活了小胶质细胞和血液来源性单核细胞浸润。CCR2激活诱导STAT3磷酸化和IL-1β产生，进而促进状态性癫痫后神经细胞死亡。CCR2缺陷不仅减少了神经元损失，还减轻了焦虑、记忆丧失和复发性癫痫严重程度等行为障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研究了妊娠晚期焦虑和抑郁的妇女的趋化因子水平。结果发现，焦虑组和焦虑+抑郁组的大多数趋化因子血清水平显著增加。其中，MIP-1α/CCL3、MIP-1β/CCL4、MCP-1/CCL2、MIP-3α/CCL20、RANTES/CCL5、Eotaxin/CCL11和I-TAC/CXCL11与焦虑和抑郁评分呈正相关。此外，在控制年龄+孕周+BMI等临床指标后，IL-8/CXCL8、MCP-1/CCL2和MIP-1β/CCL4与焦虑评分显著相关。TARC/CCL17和Eotaxin/CCL11与高抑郁评分显著相关，而MCP-1/CCL2和MIP-1α/CCL3与高焦虑评分显著相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总结：这篇文章主要研究了CCL2在焦虑行为、癫痫状态后神经细胞死亡以及妊娠晚期焦虑和抑郁中的作用。结果表明，CCL2在这些过程中起到重要的调节作用，并可能成为相关疾病的治疗靶点。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这篇文章主要涉及到CCL2与焦虑症之间的关系。然而，需要注意的是，这些研究结果仅基于动物实验或小样本人类研究，并且还没有得出明确的结论。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这些研究可能存在潜在的偏见。例如，动物实验中使用了低剂量酒精引起焦虑行为，但这是否能够准确反映人类酒精戒断引起的焦虑仍有待进一步验证。此外，人类研究中也存在一些限制，如样本数量较少、缺乏对其他潜在因素的控制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这些研究可能存在片面报道。文章提到了CCL2与焦虑行为之间的关联，但并未探讨其他可能影响焦虑的因素。焦虑是一个复杂的心理状态，受多种因素影响，包括遗传、环境和个体差异等。因此，在解释CCL2与焦虑之间关系时应该综合考虑其他相关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某些情况下，文章提出了无根据的主张。例如，在第二篇文章中提到CCL2-CCR2信号通路通过STAT3激活和IL-1β产生诱导神经细胞死亡，但并未提供足够的证据来支持这一主张。进一步的研究需要进行以验证这些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另外，文章中可能存在缺失的考虑点。例如，在第三篇文章中，作者探讨了妊娠期焦虑和抑郁与化学因子之间的关系，但未考虑其他潜在因素，如孕期荷尔蒙变化、社会支持等对焦虑和抑郁的影响。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此外，这些研究中提出的主张可能缺乏充分的证据支持。尽管有一些相关发现表明CCL2与焦虑之间存在关联，但仍需要更多大样本、随机对照试验来验证这些结果。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最后，这些研究还未探索反驳观点。例如，在讨论CCL2与焦虑之间关系时，并未提及可能存在的相反结果或解释不一致的观点。一个全面客观的分析应该包括对不同观点和解释的讨论。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些研究为我们理解CCL2与焦虑之间关系提供了初步线索，但仍需要更多高质量、全面考虑其他因素的研究来验证这些结果。在解读这些研究时，应该注意到可能存在的偏见、片面报道和不足之处，并保持谨慎和客观的态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CCL2与焦虑症之间的关系
</w:t>
      </w:r>
    </w:p>
    <w:p>
      <w:pPr>
        <w:spacing w:after="0"/>
        <w:numPr>
          <w:ilvl w:val="0"/>
          <w:numId w:val="2"/>
        </w:numPr>
      </w:pPr>
      <w:r>
        <w:rPr/>
        <w:t xml:space="preserve">潜在的偏见和限制
</w:t>
      </w:r>
    </w:p>
    <w:p>
      <w:pPr>
        <w:spacing w:after="0"/>
        <w:numPr>
          <w:ilvl w:val="0"/>
          <w:numId w:val="2"/>
        </w:numPr>
      </w:pPr>
      <w:r>
        <w:rPr/>
        <w:t xml:space="preserve">焦虑症的多因素影响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无根据的主张和缺乏证据支持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缺失的考虑点和未探索的反驳观点
</w:t>
      </w:r>
    </w:p>
    <w:p>
      <w:pPr>
        <w:numPr>
          <w:ilvl w:val="0"/>
          <w:numId w:val="2"/>
        </w:numPr>
      </w:pPr>
      <w:r>
        <w:rPr/>
        <w:t xml:space="preserve">需要更多高质量研究来验证结果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https://www.fullpicture.app/item/fc27f7f3d6820a5819ad6b2b6496d800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5410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woscc/summary/0245cdc4-f5f2-4bfd-8fcd-9c846bb18b1a-9c3d761b/relevance/1" TargetMode="External"/><Relationship Id="rId8" Type="http://schemas.openxmlformats.org/officeDocument/2006/relationships/hyperlink" Target="https://www.fullpicture.app/item/fc27f7f3d6820a5819ad6b2b6496d80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2023-08-07T03:41:35+02:00</dcterms:created>
  <dcterms:modified xsi:type="dcterms:W3CDTF">2023-08-07T03:41:35+02:00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