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Human Th1/Th2 Cytokine Cytometric Bead Array (CBA) Kit II</w:t>
      </w:r>
      <w:br/>
      <w:hyperlink r:id="rId7" w:history="1">
        <w:r>
          <w:rPr>
            <w:color w:val="2980b9"/>
            <w:u w:val="single"/>
          </w:rPr>
          <w:t xml:space="preserve">https://www.bdbiosciences.com/zh-cn/products/reagents/immunoassay-reagents/cba/cba-kits/human-th1-th2-cytokine-cytometric-bead-array-cba-kit-ii.551809</w:t>
        </w:r>
      </w:hyperlink>
    </w:p>
    <w:p>
      <w:pPr>
        <w:pStyle w:val="Heading1"/>
      </w:pPr>
      <w:bookmarkStart w:id="2" w:name="_Toc2"/>
      <w:r>
        <w:t>Article summary:</w:t>
      </w:r>
      <w:bookmarkEnd w:id="2"/>
    </w:p>
    <w:p>
      <w:pPr>
        <w:jc w:val="both"/>
      </w:pPr>
      <w:r>
        <w:rPr/>
        <w:t xml:space="preserve">1. BD™ Cytometric Bead Array (CBA) Human Th1/Th2 cytokine kit II can quantitatively measure six different cytokines in a single sample.</w:t>
      </w:r>
    </w:p>
    <w:p>
      <w:pPr>
        <w:jc w:val="both"/>
      </w:pPr>
      <w:r>
        <w:rPr/>
        <w:t xml:space="preserve">2. The kit is optimized for analysis of specific cytokines in tissue culture supernatants, EDTA plasma, and serum samples.</w:t>
      </w:r>
    </w:p>
    <w:p>
      <w:pPr>
        <w:jc w:val="both"/>
      </w:pPr>
      <w:r>
        <w:rPr/>
        <w:t xml:space="preserve">3. The kit provides sufficient reagents for the quantitative analysis of 80 samples and should be stored at 2 to 8°C without freezing.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商品详情介绍，没有明显的偏见或宣传内容。然而，它可能存在一些片面报道和缺失的考虑点。例如，文章没有提及该测试的准确性和可靠性，并且没有探讨可能的误差来源。此外，文章也没有提供任何关于该测试使用的潜在风险或注意事项的信息。</w:t>
      </w:r>
    </w:p>
    <w:p>
      <w:pPr>
        <w:jc w:val="both"/>
      </w:pPr>
      <w:r>
        <w:rPr/>
        <w:t xml:space="preserve"/>
      </w:r>
    </w:p>
    <w:p>
      <w:pPr>
        <w:jc w:val="both"/>
      </w:pPr>
      <w:r>
        <w:rPr/>
        <w:t xml:space="preserve">另外，该文章只介绍了该测试可以用于定量测量多种细胞因子水平，但并未提供任何有关这些细胞因子与特定疾病或生理过程之间关系的信息。这可能会导致读者对测试结果的解释产生困惑。</w:t>
      </w:r>
    </w:p>
    <w:p>
      <w:pPr>
        <w:jc w:val="both"/>
      </w:pPr>
      <w:r>
        <w:rPr/>
        <w:t xml:space="preserve"/>
      </w:r>
    </w:p>
    <w:p>
      <w:pPr>
        <w:jc w:val="both"/>
      </w:pPr>
      <w:r>
        <w:rPr/>
        <w:t xml:space="preserve">总体而言，尽管该文章没有明显的偏见或宣传内容，但它仍然存在一些缺失和需要进一步探讨的问题。</w:t>
      </w:r>
    </w:p>
    <w:p>
      <w:pPr>
        <w:pStyle w:val="Heading1"/>
      </w:pPr>
      <w:bookmarkStart w:id="5" w:name="_Toc5"/>
      <w:r>
        <w:t>Topics for further research:</w:t>
      </w:r>
      <w:bookmarkEnd w:id="5"/>
    </w:p>
    <w:p>
      <w:pPr>
        <w:spacing w:after="0"/>
        <w:numPr>
          <w:ilvl w:val="0"/>
          <w:numId w:val="2"/>
        </w:numPr>
      </w:pPr>
      <w:r>
        <w:rPr/>
        <w:t xml:space="preserve">Accuracy and reliability of the test
</w:t>
      </w:r>
    </w:p>
    <w:p>
      <w:pPr>
        <w:spacing w:after="0"/>
        <w:numPr>
          <w:ilvl w:val="0"/>
          <w:numId w:val="2"/>
        </w:numPr>
      </w:pPr>
      <w:r>
        <w:rPr/>
        <w:t xml:space="preserve">Potential sources of error
</w:t>
      </w:r>
    </w:p>
    <w:p>
      <w:pPr>
        <w:spacing w:after="0"/>
        <w:numPr>
          <w:ilvl w:val="0"/>
          <w:numId w:val="2"/>
        </w:numPr>
      </w:pPr>
      <w:r>
        <w:rPr/>
        <w:t xml:space="preserve">Risks and precautions associated with the test
</w:t>
      </w:r>
    </w:p>
    <w:p>
      <w:pPr>
        <w:spacing w:after="0"/>
        <w:numPr>
          <w:ilvl w:val="0"/>
          <w:numId w:val="2"/>
        </w:numPr>
      </w:pPr>
      <w:r>
        <w:rPr/>
        <w:t xml:space="preserve">Relationship between measured cytokines and specific diseases or physiological processes
</w:t>
      </w:r>
    </w:p>
    <w:p>
      <w:pPr>
        <w:spacing w:after="0"/>
        <w:numPr>
          <w:ilvl w:val="0"/>
          <w:numId w:val="2"/>
        </w:numPr>
      </w:pPr>
      <w:r>
        <w:rPr/>
        <w:t xml:space="preserve">Limitations of the test
</w:t>
      </w:r>
    </w:p>
    <w:p>
      <w:pPr>
        <w:numPr>
          <w:ilvl w:val="0"/>
          <w:numId w:val="2"/>
        </w:numPr>
      </w:pPr>
      <w:r>
        <w:rPr/>
        <w:t xml:space="preserve">Further considerations and research needed</w:t>
      </w:r>
    </w:p>
    <w:p>
      <w:pPr>
        <w:pStyle w:val="Heading1"/>
      </w:pPr>
      <w:bookmarkStart w:id="6" w:name="_Toc6"/>
      <w:r>
        <w:t>Report location:</w:t>
      </w:r>
      <w:bookmarkEnd w:id="6"/>
    </w:p>
    <w:p>
      <w:hyperlink r:id="rId8" w:history="1">
        <w:r>
          <w:rPr>
            <w:color w:val="2980b9"/>
            <w:u w:val="single"/>
          </w:rPr>
          <w:t xml:space="preserve">https://www.fullpicture.app/item/fc681c99d6e1fe4f5d69fbd0918d8b3c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B53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dbiosciences.com/zh-cn/products/reagents/immunoassay-reagents/cba/cba-kits/human-th1-th2-cytokine-cytometric-bead-array-cba-kit-ii.551809" TargetMode="External"/><Relationship Id="rId8" Type="http://schemas.openxmlformats.org/officeDocument/2006/relationships/hyperlink" Target="https://www.fullpicture.app/item/fc681c99d6e1fe4f5d69fbd0918d8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2024-01-19T02:23:07+01:00</dcterms:created>
  <dcterms:modified xsi:type="dcterms:W3CDTF">2024-01-19T02:23:07+01:00</dcterms:modified>
</cp:coreProperties>
</file>

<file path=docProps/custom.xml><?xml version="1.0" encoding="utf-8"?>
<Properties xmlns="http://schemas.openxmlformats.org/officeDocument/2006/custom-properties" xmlns:vt="http://schemas.openxmlformats.org/officeDocument/2006/docPropsVTypes"/>
</file>