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Genetic Ablation of Butyrate Utilization Attenuates Gastrointestinal Salmonella Disease: Cell Host &amp; Microbe</w:t>
      </w:r>
      <w:br/>
      <w:hyperlink r:id="rId7" w:history="1">
        <w:r>
          <w:rPr>
            <w:color w:val="2980b9"/>
            <w:u w:val="single"/>
          </w:rPr>
          <w:t xml:space="preserve">https://www.cell.com/cell-host-microbe/fulltext/S1931-3128(18)30039-8?_returnURL=https%3A%2F%2Flinkinghub.elsevier.com%2Fretrieve%2Fpii%2FS1931312818300398%3Fshowall%3Dtrue</w:t>
        </w:r>
      </w:hyperlink>
    </w:p>
    <w:p>
      <w:pPr>
        <w:pStyle w:val="Heading1"/>
      </w:pPr>
      <w:bookmarkStart w:id="2" w:name="_Toc2"/>
      <w:r>
        <w:t>Article summary:</w:t>
      </w:r>
      <w:bookmarkEnd w:id="2"/>
    </w:p>
    <w:p>
      <w:pPr>
        <w:jc w:val="both"/>
      </w:pPr>
      <w:r>
        <w:rPr/>
        <w:t xml:space="preserve">1. The ydiQRSTD operon, which is deleted in Salmonella Typhi, allows Salmonella Typhimurium to utilize microbiota-derived butyrate during gastrointestinal disease.</w:t>
      </w:r>
    </w:p>
    <w:p>
      <w:pPr>
        <w:jc w:val="both"/>
      </w:pPr>
      <w:r>
        <w:rPr/>
        <w:t xml:space="preserve">2. Genetic ablation of butyrate utilization reduces Salmonella Typhimurium epithelial invasion and attenuates intestinal inflammation.</w:t>
      </w:r>
    </w:p>
    <w:p>
      <w:pPr>
        <w:jc w:val="both"/>
      </w:pPr>
      <w:r>
        <w:rPr/>
        <w:t xml:space="preserve">3. Deletion of the ydiD gene renders Salmonella Typhimurium sensitive to butyrate-mediated repression of invasion gene expression, contributing to the transition from a gastrointestinal to an extraintestinal pathogen.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"Genetic Ablation of Butyrate Utilization Attenuates Gastrointestinal Salmonella Disease" published in Cell Host &amp; Microbe discusses the role of genetic differences in the transition of Salmonella enterica serovar (S.) Typhi from a gastrointestinal pathogen to an extraintestinal pathogen. The study focuses on the ydiQRSTD operon, which is deleted in S. Typhi and enables S. Typhimurium to utilize microbiota-derived butyrate during gastrointestinal disease.</w:t>
      </w:r>
    </w:p>
    <w:p>
      <w:pPr>
        <w:jc w:val="both"/>
      </w:pPr>
      <w:r>
        <w:rPr/>
        <w:t xml:space="preserve"/>
      </w:r>
    </w:p>
    <w:p>
      <w:pPr>
        <w:jc w:val="both"/>
      </w:pPr>
      <w:r>
        <w:rPr/>
        <w:t xml:space="preserve">Overall, the article provides a detailed analysis of the role of butyrate utilization in Salmonella infection and its impact on intestinal inflammation. However, there are several potential biases and limitations that should be considered.</w:t>
      </w:r>
    </w:p>
    <w:p>
      <w:pPr>
        <w:jc w:val="both"/>
      </w:pPr>
      <w:r>
        <w:rPr/>
        <w:t xml:space="preserve"/>
      </w:r>
    </w:p>
    <w:p>
      <w:pPr>
        <w:jc w:val="both"/>
      </w:pPr>
      <w:r>
        <w:rPr/>
        <w:t xml:space="preserve">1. Limited scope: The study primarily focuses on the role of butyrate utilization in Salmonella infection and does not explore other factors that may contribute to the transition from a gastrointestinal to an extraintestinal pathogen. This narrow focus limits the generalizability of the findings and may overlook other important mechanisms involved in pathogen evolution.</w:t>
      </w:r>
    </w:p>
    <w:p>
      <w:pPr>
        <w:jc w:val="both"/>
      </w:pPr>
      <w:r>
        <w:rPr/>
        <w:t xml:space="preserve"/>
      </w:r>
    </w:p>
    <w:p>
      <w:pPr>
        <w:jc w:val="both"/>
      </w:pPr>
      <w:r>
        <w:rPr/>
        <w:t xml:space="preserve">2. Lack of counterarguments: The article does not discuss potential counterarguments or alternative explanations for the observed results. This omission limits critical analysis and leaves unanswered questions about other factors that may influence intestinal inflammation during Salmonella infection.</w:t>
      </w:r>
    </w:p>
    <w:p>
      <w:pPr>
        <w:jc w:val="both"/>
      </w:pPr>
      <w:r>
        <w:rPr/>
        <w:t xml:space="preserve"/>
      </w:r>
    </w:p>
    <w:p>
      <w:pPr>
        <w:jc w:val="both"/>
      </w:pPr>
      <w:r>
        <w:rPr/>
        <w:t xml:space="preserve">3. Unsupported claims: The article makes claims about the role of genetic changes in driving the transition from a gastrointestinal to an extraintestinal pathogen without providing sufficient evidence or considering alternative explanations. While the study provides experimental data supporting their findings, more research is needed to establish a causal relationship between genetic changes and pathogen evolution.</w:t>
      </w:r>
    </w:p>
    <w:p>
      <w:pPr>
        <w:jc w:val="both"/>
      </w:pPr>
      <w:r>
        <w:rPr/>
        <w:t xml:space="preserve"/>
      </w:r>
    </w:p>
    <w:p>
      <w:pPr>
        <w:jc w:val="both"/>
      </w:pPr>
      <w:r>
        <w:rPr/>
        <w:t xml:space="preserve">4. Missing evidence: The article does not provide comprehensive evidence for all claims made. For example, while it suggests that loss-of-function mutations in typhoidal Salmonella serovars are involved in central anaerobic metabolism, it does not present experimental data or references to support this claim.</w:t>
      </w:r>
    </w:p>
    <w:p>
      <w:pPr>
        <w:jc w:val="both"/>
      </w:pPr>
      <w:r>
        <w:rPr/>
        <w:t xml:space="preserve"/>
      </w:r>
    </w:p>
    <w:p>
      <w:pPr>
        <w:jc w:val="both"/>
      </w:pPr>
      <w:r>
        <w:rPr/>
        <w:t xml:space="preserve">5. Biases in reporting: The article focuses on the role of butyrate utilization in attenuating intestinal inflammation during Salmonella infection, potentially overlooking other factors that may contribute to disease severity. This one-sided reporting may lead to an incomplete understanding of the complex interactions between the pathogen and host.</w:t>
      </w:r>
    </w:p>
    <w:p>
      <w:pPr>
        <w:jc w:val="both"/>
      </w:pPr>
      <w:r>
        <w:rPr/>
        <w:t xml:space="preserve"/>
      </w:r>
    </w:p>
    <w:p>
      <w:pPr>
        <w:jc w:val="both"/>
      </w:pPr>
      <w:r>
        <w:rPr/>
        <w:t xml:space="preserve">6. Promotional content: The article does not appear to have any overt promotional content, but it is important to note that Cell Host &amp; Microbe is a scientific journal that publishes research articles. While the study itself does not seem biased or promotional, it is always important to critically evaluate scientific studies and consider potential conflicts of interest.</w:t>
      </w:r>
    </w:p>
    <w:p>
      <w:pPr>
        <w:jc w:val="both"/>
      </w:pPr>
      <w:r>
        <w:rPr/>
        <w:t xml:space="preserve"/>
      </w:r>
    </w:p>
    <w:p>
      <w:pPr>
        <w:jc w:val="both"/>
      </w:pPr>
      <w:r>
        <w:rPr/>
        <w:t xml:space="preserve">In conclusion, while the article provides valuable insights into the role of butyrate utilization in Salmonella infection, there are several biases and limitations that should be considered. Further research is needed to fully understand the complex mechanisms involved in the transition from a gastrointestinal to an extraintestinal pathogen and to explore alternative explanations for the observed results.</w:t>
      </w:r>
    </w:p>
    <w:p>
      <w:pPr>
        <w:pStyle w:val="Heading1"/>
      </w:pPr>
      <w:bookmarkStart w:id="5" w:name="_Toc5"/>
      <w:r>
        <w:t>Topics for further research:</w:t>
      </w:r>
      <w:bookmarkEnd w:id="5"/>
    </w:p>
    <w:p>
      <w:pPr>
        <w:spacing w:after="0"/>
        <w:numPr>
          <w:ilvl w:val="0"/>
          <w:numId w:val="2"/>
        </w:numPr>
      </w:pPr>
      <w:r>
        <w:rPr/>
        <w:t xml:space="preserve">Mechanisms of Salmonella pathogen evolution
</w:t>
      </w:r>
    </w:p>
    <w:p>
      <w:pPr>
        <w:spacing w:after="0"/>
        <w:numPr>
          <w:ilvl w:val="0"/>
          <w:numId w:val="2"/>
        </w:numPr>
      </w:pPr>
      <w:r>
        <w:rPr/>
        <w:t xml:space="preserve">Factors contributing to the transition from gastrointestinal to extraintestinal Salmonella infection
</w:t>
      </w:r>
    </w:p>
    <w:p>
      <w:pPr>
        <w:spacing w:after="0"/>
        <w:numPr>
          <w:ilvl w:val="0"/>
          <w:numId w:val="2"/>
        </w:numPr>
      </w:pPr>
      <w:r>
        <w:rPr/>
        <w:t xml:space="preserve">Role of other genetic differences in Salmonella infection
</w:t>
      </w:r>
    </w:p>
    <w:p>
      <w:pPr>
        <w:spacing w:after="0"/>
        <w:numPr>
          <w:ilvl w:val="0"/>
          <w:numId w:val="2"/>
        </w:numPr>
      </w:pPr>
      <w:r>
        <w:rPr/>
        <w:t xml:space="preserve">Alternative explanations for intestinal inflammation during Salmonella infection
</w:t>
      </w:r>
    </w:p>
    <w:p>
      <w:pPr>
        <w:spacing w:after="0"/>
        <w:numPr>
          <w:ilvl w:val="0"/>
          <w:numId w:val="2"/>
        </w:numPr>
      </w:pPr>
      <w:r>
        <w:rPr/>
        <w:t xml:space="preserve">Evidence for loss-of-function mutations in typhoidal Salmonella serovars and central anaerobic metabolism
</w:t>
      </w:r>
    </w:p>
    <w:p>
      <w:pPr>
        <w:numPr>
          <w:ilvl w:val="0"/>
          <w:numId w:val="2"/>
        </w:numPr>
      </w:pPr>
      <w:r>
        <w:rPr/>
        <w:t xml:space="preserve">Complex interactions between Salmonella and the host during infection</w:t>
      </w:r>
    </w:p>
    <w:p>
      <w:pPr>
        <w:pStyle w:val="Heading1"/>
      </w:pPr>
      <w:bookmarkStart w:id="6" w:name="_Toc6"/>
      <w:r>
        <w:t>Report location:</w:t>
      </w:r>
      <w:bookmarkEnd w:id="6"/>
    </w:p>
    <w:p>
      <w:hyperlink r:id="rId8" w:history="1">
        <w:r>
          <w:rPr>
            <w:color w:val="2980b9"/>
            <w:u w:val="single"/>
          </w:rPr>
          <w:t xml:space="preserve">https://www.fullpicture.app/item/fccf40bbda32c33a4ad9963aae826f55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8E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host-microbe/fulltext/S1931-3128(18)30039-8?_returnURL=https%3A%2F%2Flinkinghub.elsevier.com%2Fretrieve%2Fpii%2FS1931312818300398%3Fshowall%3Dtrue" TargetMode="External"/><Relationship Id="rId8" Type="http://schemas.openxmlformats.org/officeDocument/2006/relationships/hyperlink" Target="https://www.fullpicture.app/item/fccf40bbda32c33a4ad9963aae826f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2023-08-06T02:19:49+02:00</dcterms:created>
  <dcterms:modified xsi:type="dcterms:W3CDTF">2023-08-06T02:19:49+02:00</dcterms:modified>
</cp:coreProperties>
</file>

<file path=docProps/custom.xml><?xml version="1.0" encoding="utf-8"?>
<Properties xmlns="http://schemas.openxmlformats.org/officeDocument/2006/custom-properties" xmlns:vt="http://schemas.openxmlformats.org/officeDocument/2006/docPropsVTypes"/>
</file>