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心理心脏病学的前沿和热点演变：2004 年至 2022 年的文献计量分析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https://pubmed.ncbi.nlm.nih.gov/35995242/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本研究使用文献计量学方法对过去20年来精神心脏病学领域的文献进行可视化和分析，以了解该领域的发展趋势和热点。</w:t>
      </w:r>
    </w:p>
    <w:p>
      <w:pPr>
        <w:jc w:val="both"/>
      </w:pPr>
      <w:r>
        <w:rPr/>
        <w:t xml:space="preserve">2. 研究发现，在精神心脏病学领域，循证医学研究、生物机制研究和指南共识等创新应用逐渐增多，并且与临床实践、机制和管理策略的发展密切相关。</w:t>
      </w:r>
    </w:p>
    <w:p>
      <w:pPr>
        <w:jc w:val="both"/>
      </w:pPr>
      <w:r>
        <w:rPr/>
        <w:t xml:space="preserve">3. 通过利用CiteSpace和VOSviewer对409-2004年间发表的2022篇文章进行定量描述和评价，为精神心脏病学的未来发展提供理论参考。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很抱歉，根据提供的信息，无法对文章进行详细的批判性分析。请提供更多关于文章内容的信息，以便进行进一步讨论和分析。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文章的主题或中心思想是什么？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文章中使用了哪些证据或例子来支持其论点？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文章的结构如何？是否有明确的引言、主体和结论部分？
</w:t>
      </w:r>
    </w:p>
    <w:p>
      <w:pPr>
        <w:spacing w:after="0"/>
        <w:numPr>
          <w:ilvl w:val="0"/>
          <w:numId w:val="2"/>
        </w:numPr>
      </w:pPr>
      <w:r>
        <w:rPr/>
        <w:t xml:space="preserve">文章的语言和风格如何？是否使用了具体的词汇和句子结构？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文章是否提供了对相反观点的讨论或反驳？
</w:t>
      </w:r>
    </w:p>
    <w:p>
      <w:pPr>
        <w:numPr>
          <w:ilvl w:val="0"/>
          <w:numId w:val="2"/>
        </w:numPr>
      </w:pPr>
      <w:r>
        <w:rPr/>
        <w:t xml:space="preserve">文章对读者有何影响或启发？是否提供了行动或思考的建议？
通过回答这些问题，我们可以更深入地分析文章的内容和论点，并提供更具体的批判性分析。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https://www.fullpicture.app/item/fcfae95304d76473ef9bab90aa75335c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403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995242/" TargetMode="External"/><Relationship Id="rId8" Type="http://schemas.openxmlformats.org/officeDocument/2006/relationships/hyperlink" Target="https://www.fullpicture.app/item/fcfae95304d76473ef9bab90aa7533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2023-12-23T09:44:08+01:00</dcterms:created>
  <dcterms:modified xsi:type="dcterms:W3CDTF">2023-12-23T09:44:08+01:00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