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over the industry life-cycle: Evidence from EU manufacturing - ScienceDirect</w:t>
      </w:r>
      <w:br/>
      <w:hyperlink r:id="rId7" w:history="1">
        <w:r>
          <w:rPr>
            <w:color w:val="2980b9"/>
            <w:u w:val="single"/>
          </w:rPr>
          <w:t xml:space="preserve">https://www.sciencedirect.com/science/article/abs/pii/S0167268112002843</w:t>
        </w:r>
      </w:hyperlink>
    </w:p>
    <w:p>
      <w:pPr>
        <w:pStyle w:val="Heading1"/>
      </w:pPr>
      <w:bookmarkStart w:id="2" w:name="_Toc2"/>
      <w:r>
        <w:t>Article summary:</w:t>
      </w:r>
      <w:bookmarkEnd w:id="2"/>
    </w:p>
    <w:p>
      <w:pPr>
        <w:jc w:val="both"/>
      </w:pPr>
      <w:r>
        <w:rPr/>
        <w:t xml:space="preserve">1. The article investigates innovation patterns for 21 European manufacturing industries, using a flexible measure of maturity and a novel modeling approach.</w:t>
      </w:r>
    </w:p>
    <w:p>
      <w:pPr>
        <w:jc w:val="both"/>
      </w:pPr>
      <w:r>
        <w:rPr/>
        <w:t xml:space="preserve">2. The results support the two assertions that innovation is high when an industry is young and low when the industry matures, and product innovation decreases with industry maturity, while process innovation increases.</w:t>
      </w:r>
    </w:p>
    <w:p>
      <w:pPr>
        <w:jc w:val="both"/>
      </w:pPr>
      <w:r>
        <w:rPr/>
        <w:t xml:space="preserve">3. The implications of these regularities are profound, suggesting that optimal R&amp;D policy depends on the life-cycle stage and market share of industries.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“Innovation over the Industry Life-Cycle: Evidence from EU Manufacturing” provides evidence to support two assertions regarding innovation over the industry life-cycle: (1) Innovation is high when an industry is young and low when the industry matures; (2) Product innovation decreases with industry maturity, while process innovation increases. To investigate these assertions, the authors use a flexible measure of maturity and a novel modeling approach to analyze 21 European manufacturing industries. </w:t>
      </w:r>
    </w:p>
    <w:p>
      <w:pPr>
        <w:jc w:val="both"/>
      </w:pPr>
      <w:r>
        <w:rPr/>
        <w:t xml:space="preserve">The article appears to be reliable in its methodology and conclusions as it uses a comprehensive database of 21 European manufacturing industries and employs a novel empirical methodology to disentangle between product and process innovations. Furthermore, the authors provide evidence to support their claims by citing previous research in modern growth theory which has established a strong link between R&amp;D and economic growth. </w:t>
      </w:r>
    </w:p>
    <w:p>
      <w:pPr>
        <w:jc w:val="both"/>
      </w:pPr>
      <w:r>
        <w:rPr/>
        <w:t xml:space="preserve">However, there are some potential biases in this article that should be noted. First, the authors focus solely on European manufacturing industries which may limit their ability to draw generalizable conclusions about other countries or regions outside Europe. Second, although they cite previous research in modern growth theory to support their claims, they do not explore any counterarguments or alternative perspectives which could have provided additional insights into their findings. Finally, they do not discuss any possible risks associated with their proposed policy recommendations which could lead to misallocation of resources if not properly considered. </w:t>
      </w:r>
    </w:p>
    <w:p>
      <w:pPr>
        <w:jc w:val="both"/>
      </w:pPr>
      <w:r>
        <w:rPr/>
        <w:t xml:space="preserve">In conclusion, this article provides reliable evidence for its claims regarding innovation over the industry life-cycle but should be read with caution due to potential biases such as limited scope of analysis and lack of exploration of counterarguments or risks associated with proposed policy recommendations.</w:t>
      </w:r>
    </w:p>
    <w:p>
      <w:pPr>
        <w:pStyle w:val="Heading1"/>
      </w:pPr>
      <w:bookmarkStart w:id="5" w:name="_Toc5"/>
      <w:r>
        <w:t>Topics for further research:</w:t>
      </w:r>
      <w:bookmarkEnd w:id="5"/>
    </w:p>
    <w:p>
      <w:pPr>
        <w:spacing w:after="0"/>
        <w:numPr>
          <w:ilvl w:val="0"/>
          <w:numId w:val="2"/>
        </w:numPr>
      </w:pPr>
      <w:r>
        <w:rPr/>
        <w:t xml:space="preserve">Industry life-cycle and innovation</w:t>
      </w:r>
    </w:p>
    <w:p>
      <w:pPr>
        <w:spacing w:after="0"/>
        <w:numPr>
          <w:ilvl w:val="0"/>
          <w:numId w:val="2"/>
        </w:numPr>
      </w:pPr>
      <w:r>
        <w:rPr/>
        <w:t xml:space="preserve">Economic growth and R&amp;D</w:t>
      </w:r>
    </w:p>
    <w:p>
      <w:pPr>
        <w:spacing w:after="0"/>
        <w:numPr>
          <w:ilvl w:val="0"/>
          <w:numId w:val="2"/>
        </w:numPr>
      </w:pPr>
      <w:r>
        <w:rPr/>
        <w:t xml:space="preserve">Counterarguments to modern growth theory</w:t>
      </w:r>
    </w:p>
    <w:p>
      <w:pPr>
        <w:spacing w:after="0"/>
        <w:numPr>
          <w:ilvl w:val="0"/>
          <w:numId w:val="2"/>
        </w:numPr>
      </w:pPr>
      <w:r>
        <w:rPr/>
        <w:t xml:space="preserve">Policy recommendations for innovation</w:t>
      </w:r>
    </w:p>
    <w:p>
      <w:pPr>
        <w:spacing w:after="0"/>
        <w:numPr>
          <w:ilvl w:val="0"/>
          <w:numId w:val="2"/>
        </w:numPr>
      </w:pPr>
      <w:r>
        <w:rPr/>
        <w:t xml:space="preserve">Risks associated with policy recommendations</w:t>
      </w:r>
    </w:p>
    <w:p>
      <w:pPr>
        <w:numPr>
          <w:ilvl w:val="0"/>
          <w:numId w:val="2"/>
        </w:numPr>
      </w:pPr>
      <w:r>
        <w:rPr/>
        <w:t xml:space="preserve">Global implications of industry life-cycle and innovation</w:t>
      </w:r>
    </w:p>
    <w:p>
      <w:pPr>
        <w:pStyle w:val="Heading1"/>
      </w:pPr>
      <w:bookmarkStart w:id="6" w:name="_Toc6"/>
      <w:r>
        <w:t>Report location:</w:t>
      </w:r>
      <w:bookmarkEnd w:id="6"/>
    </w:p>
    <w:p>
      <w:hyperlink r:id="rId8" w:history="1">
        <w:r>
          <w:rPr>
            <w:color w:val="2980b9"/>
            <w:u w:val="single"/>
          </w:rPr>
          <w:t xml:space="preserve">https://www.fullpicture.app/item/fdaa569896cef06ee3722e9ad8ea04f5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C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268112002843" TargetMode="External"/><Relationship Id="rId8" Type="http://schemas.openxmlformats.org/officeDocument/2006/relationships/hyperlink" Target="https://www.fullpicture.app/item/fdaa569896cef06ee3722e9ad8ea0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2023-02-23T04:14:51+01:00</dcterms:created>
  <dcterms:modified xsi:type="dcterms:W3CDTF">2023-02-23T04:14:51+01:00</dcterms:modified>
</cp:coreProperties>
</file>

<file path=docProps/custom.xml><?xml version="1.0" encoding="utf-8"?>
<Properties xmlns="http://schemas.openxmlformats.org/officeDocument/2006/custom-properties" xmlns:vt="http://schemas.openxmlformats.org/officeDocument/2006/docPropsVTypes"/>
</file>