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Concentrated Liquidity Analysis in Uniswap V3 | Proceedings of the 2022 ACM CCS Workshop on Decentralized Finance and Security</w:t>
      </w:r>
      <w:br/>
      <w:hyperlink r:id="rId7" w:history="1">
        <w:r>
          <w:rPr>
            <w:color w:val="2980b9"/>
            <w:u w:val="single"/>
          </w:rPr>
          <w:t xml:space="preserve">https://dl.acm.org/doi/10.1145/3560832.3563438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Uniswap V3 introduces concentrated liquidity, allowing liquidity providers to add liquidity within a specific price range.</w:t>
      </w:r>
    </w:p>
    <w:p>
      <w:pPr>
        <w:jc w:val="both"/>
      </w:pPr>
      <w:r>
        <w:rPr/>
        <w:t xml:space="preserve">2. The paper analyzes the effect of concentrated liquidity on the return of liquidity providers and presents an approximation for expected fees and impermanent loss.</w:t>
      </w:r>
    </w:p>
    <w:p>
      <w:pPr>
        <w:jc w:val="both"/>
      </w:pPr>
      <w:r>
        <w:rPr/>
        <w:t xml:space="preserve">3. The analytical results are verified using simulations, and other related studies on Uniswap V3's impermanent loss and risk profile are referenced.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由于本文是一篇学术论文，其内容相对客观和中立。然而，可以指出的是，该文章可能存在一些偏见和局限性。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首先，该文章主要关注Uniswap V3的集中流动性特征，并分析了这种特征对提供流动性者回报的影响。然而，该文章没有探讨其他因素对Uniswap V3的影响，例如市场波动、交易量等。因此，在评估Uniswap V3的风险和回报时，需要考虑更多因素。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其次，该文章使用了模拟来验证其分析结果。虽然模拟可以提供有用的信息，但它们并不能完全代表真实世界中的情况。因此，在评估Uniswap V3的风险和回报时，需要谨慎地考虑模拟结果。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此外，在引用其他研究时，该文章可能存在选择性引用或忽略相关研究的情况。这可能导致作者未能充分考虑其他观点或证据，并可能导致偏见。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最后，在讨论Uniswap V3的优点时，该文章没有平等地呈现双方观点。尽管Uniswap V3具有许多优点，但也存在潜在风险和缺陷。因此，在评估Uniswap V3时，需要平衡考虑其优点和缺点。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总之，该文章提供了有用的信息和分析，但需要谨慎地考虑其局限性和偏见。在评估Uniswap V3的风险和回报时，需要综合考虑多种因素，并参考其他相关研究。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Uniswap V3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simulation results
</w:t>
      </w:r>
    </w:p>
    <w:p>
      <w:pPr>
        <w:spacing w:after="0"/>
        <w:numPr>
          <w:ilvl w:val="0"/>
          <w:numId w:val="2"/>
        </w:numPr>
      </w:pPr>
      <w:r>
        <w:rPr/>
        <w:t xml:space="preserve">Selective citation of other research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drawbacks of Uniswap V3
</w:t>
      </w:r>
    </w:p>
    <w:p>
      <w:pPr>
        <w:spacing w:after="0"/>
        <w:numPr>
          <w:ilvl w:val="0"/>
          <w:numId w:val="2"/>
        </w:numPr>
      </w:pPr>
      <w:r>
        <w:rPr/>
        <w:t xml:space="preserve">Balancing the pros and cons of Uniswap V3
</w:t>
      </w:r>
    </w:p>
    <w:p>
      <w:pPr>
        <w:numPr>
          <w:ilvl w:val="0"/>
          <w:numId w:val="2"/>
        </w:numPr>
      </w:pPr>
      <w:r>
        <w:rPr/>
        <w:t xml:space="preserve">Considering multiple factors and other research in evaluating Uniswap V3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https://www.fullpicture.app/item/fe994d9a3c0475b996f427d0ca4f79d7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D8BE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10.1145/3560832.3563438" TargetMode="External"/><Relationship Id="rId8" Type="http://schemas.openxmlformats.org/officeDocument/2006/relationships/hyperlink" Target="https://www.fullpicture.app/item/fe994d9a3c0475b996f427d0ca4f79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2024-01-13T16:39:25+01:00</dcterms:created>
  <dcterms:modified xsi:type="dcterms:W3CDTF">2024-01-13T16:39:25+01:00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