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Diagnostics for COVID-19: moving from pandemic response to control - PMC</w:t>
      </w:r>
      <w:br/>
      <w:hyperlink r:id="rId7" w:history="1">
        <w:r>
          <w:rPr>
            <w:color w:val="2980b9"/>
            <w:u w:val="single"/>
          </w:rPr>
          <w:t xml:space="preserve">https://www.ncbi.nlm.nih.gov/pmc/articles/PMC8687671/</w:t>
        </w:r>
      </w:hyperlink>
    </w:p>
    <w:p>
      <w:pPr>
        <w:pStyle w:val="Heading1"/>
      </w:pPr>
      <w:bookmarkStart w:id="2" w:name="_Toc2"/>
      <w:r>
        <w:t>Article summary:</w:t>
      </w:r>
      <w:bookmarkEnd w:id="2"/>
    </w:p>
    <w:p>
      <w:pPr>
        <w:jc w:val="both"/>
      </w:pPr>
      <w:r>
        <w:rPr/>
        <w:t xml:space="preserve">1. Diagnostics have been crucial to the COVID-19 pandemic response, with three major methods for detection: molecular tests (PCR), antigen rapid detection tests, and antibody tests.</w:t>
      </w:r>
    </w:p>
    <w:p>
      <w:pPr>
        <w:jc w:val="both"/>
      </w:pPr>
      <w:r>
        <w:rPr/>
        <w:t xml:space="preserve">2. Antigen rapid detection tests can be used as a public health tool for screening individuals at enhanced risk of infection, to protect people who are clinically vulnerable, and to enable economic recovery.</w:t>
      </w:r>
    </w:p>
    <w:p>
      <w:pPr>
        <w:jc w:val="both"/>
      </w:pPr>
      <w:r>
        <w:rPr/>
        <w:t xml:space="preserve">3. SARS-CoV-2 has several characteristics that make it different from seasonal coronaviruses and SARS-CoV, such as high concentrations of virus in asymptomatic and presymptomatic populations driving transmission, duration of infectiousness, and variants of concern (VOCs).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in its discussion of diagnostics for COVID-19. It provides an overview of the three main types of diagnostic tests available (molecular tests, antigen rapid detection tests, and antibody tests) and their respective advantages and disadvantages in different clinical scenarios. The article also discusses the special characteristics of SARS-CoV-2 infection that affect testing strategies (such as asymptomatic/presymptomatic populations driving transmission, duration of infectiousness, VOCs) and the immune response to SARS-CoV-2 infection.</w:t>
      </w:r>
    </w:p>
    <w:p>
      <w:pPr>
        <w:jc w:val="both"/>
      </w:pPr>
      <w:r>
        <w:rPr/>
        <w:t xml:space="preserve">The article does not appear to be biased or one-sided in its reporting; it presents both sides equally by discussing both the advantages and disadvantages of each type of test. It also provides evidence from peer-reviewed literature to support its claims about the dynamics of viral shedding and period of infectiousness over the course of infection.</w:t>
      </w:r>
    </w:p>
    <w:p>
      <w:pPr>
        <w:jc w:val="both"/>
      </w:pPr>
      <w:r>
        <w:rPr/>
        <w:t xml:space="preserve">The article does not appear to contain any promotional content or partiality; it is focused solely on providing an objective overview of diagnostics for COVID-19. The potential risks associated with each type of test are noted throughout the article.</w:t>
      </w:r>
    </w:p>
    <w:p>
      <w:pPr>
        <w:jc w:val="both"/>
      </w:pPr>
      <w:r>
        <w:rPr/>
        <w:t xml:space="preserve">The only potential issue with this article is that it does not explore any counterarguments or missing points of consideration regarding diagnostics for COVID-19; however, this is likely due to space constraints rather than bias or lack of objectivity on the part of the authors.</w:t>
      </w:r>
    </w:p>
    <w:p>
      <w:pPr>
        <w:pStyle w:val="Heading1"/>
      </w:pPr>
      <w:bookmarkStart w:id="5" w:name="_Toc5"/>
      <w:r>
        <w:t>Topics for further research:</w:t>
      </w:r>
      <w:bookmarkEnd w:id="5"/>
    </w:p>
    <w:p>
      <w:pPr>
        <w:spacing w:after="0"/>
        <w:numPr>
          <w:ilvl w:val="0"/>
          <w:numId w:val="2"/>
        </w:numPr>
      </w:pPr>
      <w:r>
        <w:rPr/>
        <w:t xml:space="preserve">SARS-CoV-2 testing accuracy</w:t>
      </w:r>
    </w:p>
    <w:p>
      <w:pPr>
        <w:spacing w:after="0"/>
        <w:numPr>
          <w:ilvl w:val="0"/>
          <w:numId w:val="2"/>
        </w:numPr>
      </w:pPr>
      <w:r>
        <w:rPr/>
        <w:t xml:space="preserve">False positive and false negative rates of COVID-19 tests</w:t>
      </w:r>
    </w:p>
    <w:p>
      <w:pPr>
        <w:spacing w:after="0"/>
        <w:numPr>
          <w:ilvl w:val="0"/>
          <w:numId w:val="2"/>
        </w:numPr>
      </w:pPr>
      <w:r>
        <w:rPr/>
        <w:t xml:space="preserve">Cost-effectiveness of COVID-19 diagnostics</w:t>
      </w:r>
    </w:p>
    <w:p>
      <w:pPr>
        <w:spacing w:after="0"/>
        <w:numPr>
          <w:ilvl w:val="0"/>
          <w:numId w:val="2"/>
        </w:numPr>
      </w:pPr>
      <w:r>
        <w:rPr/>
        <w:t xml:space="preserve">Impact of testing strategies on transmission dynamics</w:t>
      </w:r>
    </w:p>
    <w:p>
      <w:pPr>
        <w:spacing w:after="0"/>
        <w:numPr>
          <w:ilvl w:val="0"/>
          <w:numId w:val="2"/>
        </w:numPr>
      </w:pPr>
      <w:r>
        <w:rPr/>
        <w:t xml:space="preserve">Role of rapid antigen tests in COVID-19 diagnosis</w:t>
      </w:r>
    </w:p>
    <w:p>
      <w:pPr>
        <w:numPr>
          <w:ilvl w:val="0"/>
          <w:numId w:val="2"/>
        </w:numPr>
      </w:pPr>
      <w:r>
        <w:rPr/>
        <w:t xml:space="preserve">Clinical utility of antibody tests for COVID-19</w:t>
      </w:r>
    </w:p>
    <w:p>
      <w:pPr>
        <w:pStyle w:val="Heading1"/>
      </w:pPr>
      <w:bookmarkStart w:id="6" w:name="_Toc6"/>
      <w:r>
        <w:t>Report location:</w:t>
      </w:r>
      <w:bookmarkEnd w:id="6"/>
    </w:p>
    <w:p>
      <w:hyperlink r:id="rId8" w:history="1">
        <w:r>
          <w:rPr>
            <w:color w:val="2980b9"/>
            <w:u w:val="single"/>
          </w:rPr>
          <w:t xml:space="preserve">https://www.fullpicture.app/item/fefb50f538fbdf694978b36777ba0ec2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D281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8687671/" TargetMode="External"/><Relationship Id="rId8" Type="http://schemas.openxmlformats.org/officeDocument/2006/relationships/hyperlink" Target="https://www.fullpicture.app/item/fefb50f538fbdf694978b36777ba0e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2023-02-22T04:06:20+01:00</dcterms:created>
  <dcterms:modified xsi:type="dcterms:W3CDTF">2023-02-22T04:06:20+01:00</dcterms:modified>
</cp:coreProperties>
</file>

<file path=docProps/custom.xml><?xml version="1.0" encoding="utf-8"?>
<Properties xmlns="http://schemas.openxmlformats.org/officeDocument/2006/custom-properties" xmlns:vt="http://schemas.openxmlformats.org/officeDocument/2006/docPropsVTypes"/>
</file>